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A1" w:rsidRPr="00CB4B3F" w:rsidRDefault="000C68D5" w:rsidP="00777CA1">
      <w:pPr>
        <w:pStyle w:val="Title"/>
        <w:rPr>
          <w:lang w:val="el-GR"/>
        </w:rPr>
      </w:pPr>
      <w:bookmarkStart w:id="0" w:name="_GoBack"/>
      <w:bookmarkEnd w:id="0"/>
      <w:r w:rsidRPr="00CB4B3F">
        <w:rPr>
          <w:lang w:val="el-GR"/>
        </w:rPr>
        <w:t xml:space="preserve">Κατευθυντήριες Γραμμές για τους </w:t>
      </w:r>
    </w:p>
    <w:p w:rsidR="000C68D5" w:rsidRPr="00CB4B3F" w:rsidRDefault="000C68D5" w:rsidP="00777CA1">
      <w:pPr>
        <w:pStyle w:val="Title"/>
        <w:rPr>
          <w:lang w:val="el-GR"/>
        </w:rPr>
      </w:pPr>
      <w:r w:rsidRPr="00CB4B3F">
        <w:rPr>
          <w:lang w:val="el-GR"/>
        </w:rPr>
        <w:t>Όρους Εντολής και Όρια Εξουσίας της Επιτροπής Ενστάσεων Σχεδίων Χορηγιών</w:t>
      </w:r>
    </w:p>
    <w:p w:rsidR="00965E77" w:rsidRDefault="00965E77" w:rsidP="00022F18">
      <w:pPr>
        <w:rPr>
          <w:rFonts w:asciiTheme="minorHAnsi" w:hAnsiTheme="minorHAnsi" w:cstheme="minorHAnsi"/>
          <w:lang w:val="el-GR"/>
        </w:rPr>
      </w:pPr>
    </w:p>
    <w:p w:rsidR="000C68D5" w:rsidRPr="000C68D5" w:rsidRDefault="000C68D5" w:rsidP="000C68D5">
      <w:pPr>
        <w:spacing w:before="240" w:after="240" w:line="276" w:lineRule="auto"/>
        <w:ind w:right="26"/>
        <w:jc w:val="both"/>
        <w:rPr>
          <w:rFonts w:asciiTheme="minorHAnsi" w:hAnsiTheme="minorHAnsi" w:cstheme="minorHAnsi"/>
          <w:lang w:val="el-GR"/>
        </w:rPr>
      </w:pPr>
      <w:bookmarkStart w:id="1" w:name="_Toc324975511"/>
      <w:r w:rsidRPr="000C68D5">
        <w:rPr>
          <w:rFonts w:asciiTheme="minorHAnsi" w:hAnsiTheme="minorHAnsi" w:cstheme="minorHAnsi"/>
          <w:lang w:val="el-GR"/>
        </w:rPr>
        <w:t xml:space="preserve">Ένας δυνητικός Δικαιούχος μπορεί να υποβάλει, εντός συγκεκριμένου χρονικού διαστήματος που καθορίζεται στον Οδηγό Εφαρμογής του ΣΧ, και δεν θα υπερβαίνει τις 30 ημέρες, από την ημερομηνία γνωστοποίησης της απόφασης του ΕΦ (ΙΙ) να απορρίψει το έργο, γραπτώς ένσταση, στην οποία να παραθέτει τους συγκεκριμένους λόγους για τους οποίους πιστεύει ότι η πρότασή του δεν πρέπει να απορριφθεί. Σημειώνεται ότι, οι περιπτώσεις όπου ο δυνητικός Δικαιούχος είναι Κυβερνητικό Τμήμα / Υπηρεσία διέπονται από πρόνοιες της εθνικής νομοθεσίας περί Δημόσιας Υπηρεσίας. </w:t>
      </w:r>
    </w:p>
    <w:p w:rsidR="000C68D5" w:rsidRPr="00BD768B" w:rsidRDefault="000C68D5" w:rsidP="000C68D5">
      <w:pPr>
        <w:pStyle w:val="Heading1"/>
        <w:rPr>
          <w:kern w:val="2"/>
        </w:rPr>
      </w:pPr>
      <w:r w:rsidRPr="00BD768B">
        <w:rPr>
          <w:kern w:val="2"/>
        </w:rPr>
        <w:t>Σύσταση Επιτροπής Ενστάσεων</w:t>
      </w:r>
    </w:p>
    <w:p w:rsidR="000C68D5" w:rsidRPr="000C68D5" w:rsidRDefault="000C68D5" w:rsidP="000C68D5">
      <w:pPr>
        <w:spacing w:before="240" w:after="240" w:line="276" w:lineRule="auto"/>
        <w:jc w:val="both"/>
        <w:rPr>
          <w:rFonts w:asciiTheme="minorHAnsi" w:hAnsiTheme="minorHAnsi" w:cstheme="minorHAnsi"/>
          <w:kern w:val="2"/>
          <w:lang w:val="el-GR" w:eastAsia="ar-SA"/>
        </w:rPr>
      </w:pPr>
      <w:r w:rsidRPr="000C68D5">
        <w:rPr>
          <w:rFonts w:asciiTheme="minorHAnsi" w:hAnsiTheme="minorHAnsi" w:cstheme="minorHAnsi"/>
          <w:kern w:val="2"/>
          <w:lang w:val="el-GR" w:eastAsia="ar-SA"/>
        </w:rPr>
        <w:t xml:space="preserve">Η Επιτροπή Ενστάσεων απαρτίζεται, </w:t>
      </w:r>
      <w:r w:rsidRPr="000C68D5">
        <w:rPr>
          <w:rFonts w:asciiTheme="minorHAnsi" w:hAnsiTheme="minorHAnsi" w:cstheme="minorHAnsi"/>
          <w:lang w:val="el-GR"/>
        </w:rPr>
        <w:t xml:space="preserve">όπου είναι δυνατό, από </w:t>
      </w:r>
      <w:r w:rsidRPr="000C68D5">
        <w:rPr>
          <w:rFonts w:asciiTheme="minorHAnsi" w:hAnsiTheme="minorHAnsi" w:cstheme="minorHAnsi"/>
          <w:kern w:val="2"/>
          <w:lang w:val="el-GR" w:eastAsia="ar-SA"/>
        </w:rPr>
        <w:t>τριμελή Επιτροπή στελεχών του Υπουργείου / Φορέα</w:t>
      </w:r>
      <w:r w:rsidRPr="000C68D5">
        <w:rPr>
          <w:rFonts w:asciiTheme="minorHAnsi" w:hAnsiTheme="minorHAnsi" w:cstheme="minorHAnsi"/>
          <w:lang w:val="el-GR"/>
        </w:rPr>
        <w:t xml:space="preserve"> ή/και άλλων φορέων</w:t>
      </w:r>
      <w:r w:rsidRPr="000C68D5">
        <w:rPr>
          <w:rFonts w:asciiTheme="minorHAnsi" w:hAnsiTheme="minorHAnsi" w:cstheme="minorHAnsi"/>
          <w:kern w:val="2"/>
          <w:lang w:val="el-GR" w:eastAsia="ar-SA"/>
        </w:rPr>
        <w:t xml:space="preserve"> που θα ορίζεται για το σκοπό αυτό από τον Γενικό Διευθυντή. Στην Επιτροπή Ενστάσεων θα συμμετέχει λειτουργός που έχει εμπλακεί ενεργά στην ετοιμασία του Σχεδίου που αφορά η πρόσκληση αλλά δεν επιτρέπεται να συμμετέχει οποιοσδήποτε λειτουργός ή τεχνικός εμπειρογνώμονας ή άλλος εξωτερικός αξιολογητής που τυχόν αποτέλεσε/αν μέλος/λη της Επιτροπής Αξιολόγησης για την έγκριση του συγκεκριμένου Έργου. Σκοπός της Επιτροπής Ενστάσεων είναι να διασφαλίσει ότι η πρόταση έτυχε ίσης και δίκαιης μεταχείρισης από την Επιτροπή Αξιολόγησης.</w:t>
      </w:r>
    </w:p>
    <w:p w:rsidR="000C68D5" w:rsidRPr="00BD768B" w:rsidRDefault="000C68D5" w:rsidP="000C68D5">
      <w:pPr>
        <w:pStyle w:val="Heading1"/>
        <w:rPr>
          <w:kern w:val="2"/>
        </w:rPr>
      </w:pPr>
      <w:r w:rsidRPr="00BD768B">
        <w:rPr>
          <w:kern w:val="2"/>
        </w:rPr>
        <w:t>Όροι Εντολής Επιτροπής Ενστάσεων:</w:t>
      </w:r>
    </w:p>
    <w:p w:rsidR="000C68D5" w:rsidRPr="000C68D5" w:rsidRDefault="000C68D5" w:rsidP="000C68D5">
      <w:pPr>
        <w:spacing w:before="240" w:after="240" w:line="276" w:lineRule="auto"/>
        <w:jc w:val="both"/>
        <w:rPr>
          <w:rFonts w:asciiTheme="minorHAnsi" w:hAnsiTheme="minorHAnsi" w:cstheme="minorHAnsi"/>
          <w:lang w:val="el-GR"/>
        </w:rPr>
      </w:pPr>
      <w:r w:rsidRPr="000C68D5">
        <w:rPr>
          <w:rFonts w:asciiTheme="minorHAnsi" w:hAnsiTheme="minorHAnsi" w:cstheme="minorHAnsi"/>
          <w:lang w:val="el-GR"/>
        </w:rPr>
        <w:t xml:space="preserve">Η αρμοδιότητα της Επιτροπής Ενστάσεων είναι να αξιολογεί, στη βάση των στοιχείων και παραστατικών του φακέλου μιας πρότασης που υποβλήθηκαν μέχρι την καθορισμένη προθεσμία υποβολής των αιτήσεων και στοιχείων (περιλαμβανομένων τυχόν πρόσθετων στοιχείων/ διευκρινήσεων που μπορεί να λήφθηκαν εντός των τεθέντων προθεσμιών), καθώς και στη βάση της διαδικασίας αξιολόγησης που ακολουθήθηκε από τους Λειτουργούς του Φορέα και της Επιτροπής Αξιολόγησης, μέχρι και την ημερομηνία αρχικής απόφασης απόρριψης του έργου.  Η Επιτροπή Ενστάσεων πρέπει να αξιολογεί και να συμπεραίνει κατά πόσο: </w:t>
      </w:r>
    </w:p>
    <w:p w:rsidR="000C68D5" w:rsidRPr="000C68D5" w:rsidRDefault="000C68D5" w:rsidP="000C68D5">
      <w:pPr>
        <w:spacing w:before="240" w:after="240" w:line="276" w:lineRule="auto"/>
        <w:jc w:val="both"/>
        <w:rPr>
          <w:rFonts w:asciiTheme="minorHAnsi" w:hAnsiTheme="minorHAnsi" w:cstheme="minorHAnsi"/>
          <w:lang w:val="el-GR"/>
        </w:rPr>
      </w:pPr>
      <w:r w:rsidRPr="000C68D5">
        <w:rPr>
          <w:rFonts w:asciiTheme="minorHAnsi" w:hAnsiTheme="minorHAnsi" w:cstheme="minorHAnsi"/>
          <w:lang w:val="el-GR"/>
        </w:rPr>
        <w:t xml:space="preserve">Α) η διαδικασία που ακολούθησε η Επιτροπή Αξιολόγησης ήταν ορθή ή λανθασμένη, εφαρμόζοντας τους όρους και τις πρόνοιες που καθορίζονται στο Σχέδιο. Ελέγχεται δηλαδή το περιεχόμενο της πρότασης σε σχέση με τους λόγους που αναφέρονται στο Δελτίο Αξιολόγησης ότι αποτέλεσαν την αιτία μη προώθησης / έγκρισης της πρότασης, </w:t>
      </w:r>
    </w:p>
    <w:p w:rsidR="000C68D5" w:rsidRPr="000C68D5" w:rsidRDefault="000C68D5" w:rsidP="000C68D5">
      <w:pPr>
        <w:spacing w:before="240" w:after="240" w:line="276" w:lineRule="auto"/>
        <w:jc w:val="both"/>
        <w:rPr>
          <w:rFonts w:asciiTheme="minorHAnsi" w:hAnsiTheme="minorHAnsi" w:cstheme="minorHAnsi"/>
          <w:lang w:val="el-GR"/>
        </w:rPr>
      </w:pPr>
      <w:r w:rsidRPr="000C68D5">
        <w:rPr>
          <w:rFonts w:asciiTheme="minorHAnsi" w:hAnsiTheme="minorHAnsi" w:cstheme="minorHAnsi"/>
          <w:lang w:val="el-GR"/>
        </w:rPr>
        <w:t>Β) η σύνθεση της Επιτροπής Αξιολόγησης ήταν νομότυπη με βάση τις πρόνοιες του Σχεδίου.</w:t>
      </w:r>
    </w:p>
    <w:p w:rsidR="000C68D5" w:rsidRPr="000C68D5" w:rsidRDefault="000C68D5" w:rsidP="000C68D5">
      <w:pPr>
        <w:spacing w:before="240" w:after="240" w:line="276" w:lineRule="auto"/>
        <w:jc w:val="both"/>
        <w:rPr>
          <w:rFonts w:asciiTheme="minorHAnsi" w:hAnsiTheme="minorHAnsi" w:cstheme="minorHAnsi"/>
          <w:lang w:val="el-GR"/>
        </w:rPr>
      </w:pPr>
      <w:r w:rsidRPr="000C68D5">
        <w:rPr>
          <w:rFonts w:asciiTheme="minorHAnsi" w:hAnsiTheme="minorHAnsi" w:cstheme="minorHAnsi"/>
          <w:lang w:val="el-GR"/>
        </w:rPr>
        <w:lastRenderedPageBreak/>
        <w:t>Η Επιτροπή Ενστάσεων δεν εξετάζει το περιεχόμενο της κρίσης της Επιτροπής Αξιολόγησης</w:t>
      </w:r>
      <w:r w:rsidRPr="00581D9D">
        <w:rPr>
          <w:rFonts w:asciiTheme="minorHAnsi" w:hAnsiTheme="minorHAnsi" w:cstheme="minorHAnsi"/>
          <w:lang w:val="el-GR"/>
        </w:rPr>
        <w:t>,</w:t>
      </w:r>
      <w:r w:rsidRPr="000C68D5">
        <w:rPr>
          <w:rFonts w:asciiTheme="minorHAnsi" w:hAnsiTheme="minorHAnsi" w:cstheme="minorHAnsi"/>
          <w:lang w:val="el-GR"/>
        </w:rPr>
        <w:t xml:space="preserve"> εκτός εάν το περιεχόμενο  είναι τέτοιο, ώστε να αποδεικνύεται, κατά τρόπο καταφανή ή/και τεκμηριωμένο, ότι δεν συνάδει προς τις βασικές αρχές του Διοικητικού Δικαίου και συγκεκριμένα ότι στηρίζεται σε λανθασμένα γεγονότα (κατά παράβαση της πρόνοιας για την αιτιολογία των διοικητικών πράξεων).</w:t>
      </w:r>
      <w:r>
        <w:rPr>
          <w:rFonts w:asciiTheme="minorHAnsi" w:hAnsiTheme="minorHAnsi" w:cstheme="minorHAnsi"/>
          <w:lang w:val="el-GR"/>
        </w:rPr>
        <w:t xml:space="preserve">  </w:t>
      </w:r>
      <w:r w:rsidRPr="000C68D5">
        <w:rPr>
          <w:rFonts w:asciiTheme="minorHAnsi" w:hAnsiTheme="minorHAnsi" w:cstheme="minorHAnsi"/>
          <w:lang w:val="el-GR"/>
        </w:rPr>
        <w:t>Σε όλες τις περιπτώσεις υποβολής ενστάσεων που τελικά δεν ικανοποιούνται, οι αιτητές διατηρούν το δικαίωμα αν το επιθυμούν να προσφύγουν στη Δικαιοσύνη.</w:t>
      </w:r>
    </w:p>
    <w:bookmarkEnd w:id="1"/>
    <w:p w:rsidR="000C68D5" w:rsidRDefault="000C68D5" w:rsidP="000C68D5">
      <w:pPr>
        <w:pStyle w:val="Heading1"/>
        <w:rPr>
          <w:kern w:val="2"/>
        </w:rPr>
      </w:pPr>
      <w:r w:rsidRPr="00BD768B">
        <w:rPr>
          <w:kern w:val="2"/>
        </w:rPr>
        <w:t xml:space="preserve">Διαδικασία εξέτασης ενστάσεων </w:t>
      </w:r>
      <w:r>
        <w:rPr>
          <w:kern w:val="2"/>
        </w:rPr>
        <w:t xml:space="preserve">- </w:t>
      </w:r>
    </w:p>
    <w:p w:rsidR="000C68D5" w:rsidRPr="009624C4" w:rsidRDefault="000C68D5" w:rsidP="000C68D5">
      <w:pPr>
        <w:pStyle w:val="Heading3"/>
        <w:rPr>
          <w:kern w:val="2"/>
        </w:rPr>
      </w:pPr>
      <w:r w:rsidRPr="009624C4">
        <w:rPr>
          <w:kern w:val="2"/>
        </w:rPr>
        <w:t xml:space="preserve"> (I) Στάδιο Αξιολόγησης Πρότασης:</w:t>
      </w:r>
    </w:p>
    <w:p w:rsidR="000C68D5" w:rsidRDefault="000C68D5" w:rsidP="000C68D5">
      <w:pPr>
        <w:pStyle w:val="BodyText"/>
        <w:spacing w:before="240" w:after="240" w:line="276" w:lineRule="auto"/>
        <w:rPr>
          <w:rFonts w:asciiTheme="minorHAnsi" w:hAnsiTheme="minorHAnsi" w:cstheme="minorHAnsi"/>
          <w:szCs w:val="24"/>
        </w:rPr>
      </w:pPr>
      <w:r w:rsidRPr="00BD768B">
        <w:rPr>
          <w:rFonts w:asciiTheme="minorHAnsi" w:hAnsiTheme="minorHAnsi" w:cstheme="minorHAnsi"/>
          <w:szCs w:val="24"/>
        </w:rPr>
        <w:t xml:space="preserve">Αιτητές των οποίων οι προτάσεις / αιτήσεις απορρίπτονται </w:t>
      </w:r>
      <w:r w:rsidRPr="00581D9D">
        <w:rPr>
          <w:rFonts w:asciiTheme="minorHAnsi" w:hAnsiTheme="minorHAnsi" w:cstheme="minorHAnsi"/>
          <w:kern w:val="2"/>
          <w:szCs w:val="24"/>
          <w:lang w:eastAsia="ar-SA"/>
        </w:rPr>
        <w:t>(</w:t>
      </w:r>
      <w:proofErr w:type="spellStart"/>
      <w:r>
        <w:rPr>
          <w:rFonts w:asciiTheme="minorHAnsi" w:hAnsiTheme="minorHAnsi" w:cstheme="minorHAnsi"/>
          <w:szCs w:val="24"/>
          <w:lang w:val="en-US"/>
        </w:rPr>
        <w:t>i</w:t>
      </w:r>
      <w:proofErr w:type="spellEnd"/>
      <w:r w:rsidRPr="00581D9D">
        <w:rPr>
          <w:rFonts w:asciiTheme="minorHAnsi" w:hAnsiTheme="minorHAnsi" w:cstheme="minorHAnsi"/>
          <w:kern w:val="2"/>
          <w:szCs w:val="24"/>
          <w:lang w:eastAsia="ar-SA"/>
        </w:rPr>
        <w:t xml:space="preserve">) </w:t>
      </w:r>
      <w:r w:rsidRPr="00BD768B">
        <w:rPr>
          <w:rFonts w:asciiTheme="minorHAnsi" w:hAnsiTheme="minorHAnsi" w:cstheme="minorHAnsi"/>
          <w:szCs w:val="24"/>
        </w:rPr>
        <w:t xml:space="preserve">λόγω μη επιλεξιμότητας (πρώτο στάδιο αξιολόγησης – τυπικές προϋποθέσεις) ή </w:t>
      </w:r>
      <w:r w:rsidRPr="00581D9D">
        <w:rPr>
          <w:rFonts w:asciiTheme="minorHAnsi" w:hAnsiTheme="minorHAnsi" w:cstheme="minorHAnsi"/>
          <w:kern w:val="2"/>
          <w:szCs w:val="24"/>
          <w:lang w:eastAsia="ar-SA"/>
        </w:rPr>
        <w:t>(</w:t>
      </w:r>
      <w:r>
        <w:rPr>
          <w:rFonts w:asciiTheme="minorHAnsi" w:hAnsiTheme="minorHAnsi" w:cstheme="minorHAnsi"/>
          <w:szCs w:val="24"/>
          <w:lang w:val="en-US"/>
        </w:rPr>
        <w:t>ii</w:t>
      </w:r>
      <w:r w:rsidRPr="00581D9D">
        <w:rPr>
          <w:rFonts w:asciiTheme="minorHAnsi" w:hAnsiTheme="minorHAnsi" w:cstheme="minorHAnsi"/>
          <w:kern w:val="2"/>
          <w:szCs w:val="24"/>
          <w:lang w:eastAsia="ar-SA"/>
        </w:rPr>
        <w:t xml:space="preserve">) </w:t>
      </w:r>
      <w:r w:rsidRPr="00BD768B">
        <w:rPr>
          <w:rFonts w:asciiTheme="minorHAnsi" w:hAnsiTheme="minorHAnsi" w:cstheme="minorHAnsi"/>
          <w:szCs w:val="24"/>
        </w:rPr>
        <w:t>που δεν περιλαμβάνονται στους τελικούς καταλόγους για ένταξη τους στο Σχέδιο για παροχή χορηγίας λόγω χαμηλής βαθμολογίας (δεύτερο στάδιο αξιολόγησης / βαθμολόγησης), έχουν το δικαίωμα όπως εντός συγκεκριμένου χρονικού διαστήματος που καθορίζεται στον Οδηγό Εφαρμογής του ΣΧ, και δεν υπερβαίνει τις 30 ημέρες</w:t>
      </w:r>
      <w:r w:rsidRPr="00BD768B" w:rsidDel="0031775C">
        <w:rPr>
          <w:rFonts w:asciiTheme="minorHAnsi" w:hAnsiTheme="minorHAnsi" w:cstheme="minorHAnsi"/>
          <w:szCs w:val="24"/>
        </w:rPr>
        <w:t xml:space="preserve"> </w:t>
      </w:r>
      <w:r w:rsidRPr="00BD768B">
        <w:rPr>
          <w:rFonts w:asciiTheme="minorHAnsi" w:hAnsiTheme="minorHAnsi" w:cstheme="minorHAnsi"/>
          <w:szCs w:val="24"/>
        </w:rPr>
        <w:t xml:space="preserve">από την ημερομηνία παραλαβής της σχετικής επιστολής του Υπουργείου («Επιστολή μη επιλεξιμότητας» ή «Επιστολή Απόρριψης») </w:t>
      </w:r>
      <w:r>
        <w:rPr>
          <w:rFonts w:asciiTheme="minorHAnsi" w:hAnsiTheme="minorHAnsi" w:cstheme="minorHAnsi"/>
          <w:szCs w:val="24"/>
        </w:rPr>
        <w:t xml:space="preserve">(να καθορίζεται στο Σχέδιο πως αποδεικνύεται η </w:t>
      </w:r>
      <w:r w:rsidRPr="00BD768B">
        <w:rPr>
          <w:rFonts w:asciiTheme="minorHAnsi" w:hAnsiTheme="minorHAnsi" w:cstheme="minorHAnsi"/>
          <w:szCs w:val="24"/>
        </w:rPr>
        <w:t>ημερομηνία παραλαβής</w:t>
      </w:r>
      <w:r>
        <w:rPr>
          <w:rFonts w:asciiTheme="minorHAnsi" w:hAnsiTheme="minorHAnsi" w:cstheme="minorHAnsi"/>
          <w:szCs w:val="24"/>
        </w:rPr>
        <w:t xml:space="preserve"> της επιστολής)</w:t>
      </w:r>
      <w:r w:rsidRPr="00BD768B">
        <w:rPr>
          <w:rFonts w:asciiTheme="minorHAnsi" w:hAnsiTheme="minorHAnsi" w:cstheme="minorHAnsi"/>
          <w:szCs w:val="24"/>
        </w:rPr>
        <w:t xml:space="preserve">, να υποβάλουν γραπτή ένσταση που θα αποστέλλεται ταχυδρομικά με συστημένη επιστολή προς το Υπουργείο και να ζητούν επανεξέταση της αίτησης τους παραθέτοντας τους συγκεκριμένους λόγους για τους οποίους πιστεύουν ότι η αίτηση τους δεν έπρεπε να απορριφθεί ή δε βαθμολογήθηκε σωστά.  Οι ενστάσεις θα καλύπτουν μόνο διαδικαστικά θέματα. </w:t>
      </w:r>
    </w:p>
    <w:p w:rsidR="000C68D5" w:rsidRPr="000C68D5" w:rsidRDefault="000C68D5" w:rsidP="000C68D5">
      <w:pPr>
        <w:spacing w:before="240" w:after="240" w:line="276" w:lineRule="auto"/>
        <w:jc w:val="both"/>
        <w:rPr>
          <w:rFonts w:asciiTheme="minorHAnsi" w:hAnsiTheme="minorHAnsi" w:cstheme="minorHAnsi"/>
          <w:b/>
          <w:lang w:val="el-GR"/>
        </w:rPr>
      </w:pPr>
      <w:r w:rsidRPr="000C68D5">
        <w:rPr>
          <w:rFonts w:asciiTheme="minorHAnsi" w:hAnsiTheme="minorHAnsi" w:cstheme="minorHAnsi"/>
          <w:b/>
          <w:lang w:val="el-GR"/>
        </w:rPr>
        <w:t xml:space="preserve">Η Επιτροπή Ενστάσεων δε ζητά πρόσθετα από τα προαπαιτούμενα παραστατικά και δεν παρέχει στους Αιτητές πρόσθετο χρονικό περιθώριο για υποβολή τέτοιων παραστατικών και γενικά δεν προβαίνει σε ενέργειες, που δεν εμπίπτουν στο αντικείμενο της αρμοδιότητάς της . </w:t>
      </w:r>
    </w:p>
    <w:p w:rsidR="000C68D5" w:rsidRPr="00BD768B" w:rsidRDefault="000C68D5" w:rsidP="000C68D5">
      <w:pPr>
        <w:pStyle w:val="BodyText"/>
        <w:spacing w:before="240" w:after="240" w:line="276" w:lineRule="auto"/>
        <w:rPr>
          <w:rFonts w:asciiTheme="minorHAnsi" w:hAnsiTheme="minorHAnsi" w:cstheme="minorHAnsi"/>
          <w:szCs w:val="24"/>
        </w:rPr>
      </w:pPr>
      <w:r w:rsidRPr="00BD768B">
        <w:rPr>
          <w:rFonts w:asciiTheme="minorHAnsi" w:hAnsiTheme="minorHAnsi" w:cstheme="minorHAnsi"/>
          <w:szCs w:val="24"/>
        </w:rPr>
        <w:t>(</w:t>
      </w:r>
      <w:r>
        <w:rPr>
          <w:rFonts w:asciiTheme="minorHAnsi" w:hAnsiTheme="minorHAnsi" w:cstheme="minorHAnsi"/>
          <w:szCs w:val="24"/>
        </w:rPr>
        <w:t>α</w:t>
      </w:r>
      <w:r w:rsidRPr="00BD768B">
        <w:rPr>
          <w:rFonts w:asciiTheme="minorHAnsi" w:hAnsiTheme="minorHAnsi" w:cstheme="minorHAnsi"/>
          <w:szCs w:val="24"/>
        </w:rPr>
        <w:t xml:space="preserve">) Στις περιπτώσεις ενστάσεων που αφορούν σε απορρίψεις λόγω μη επιλεξιμότητας, δηλαδή απορρίψεις κατά το πρώτο στάδιο αξιολόγησης, και αφού ο ΕΦ έχει εξαντλήσει το περιθώριο για υποβολή διευκρινήσεων / συμπληρωματικών στοιχείων, η Επιτροπή Ενστάσεων επανεξετάζει </w:t>
      </w:r>
      <w:r w:rsidRPr="00BD768B">
        <w:rPr>
          <w:rFonts w:asciiTheme="minorHAnsi" w:hAnsiTheme="minorHAnsi" w:cstheme="minorHAnsi"/>
          <w:b/>
          <w:szCs w:val="24"/>
          <w:u w:val="single"/>
        </w:rPr>
        <w:t>μόνο</w:t>
      </w:r>
      <w:r w:rsidRPr="00BD768B">
        <w:rPr>
          <w:rFonts w:asciiTheme="minorHAnsi" w:hAnsiTheme="minorHAnsi" w:cstheme="minorHAnsi"/>
          <w:szCs w:val="24"/>
        </w:rPr>
        <w:t xml:space="preserve"> το περιεχόμενο του φακέλου της αίτησης</w:t>
      </w:r>
      <w:r w:rsidRPr="00BD768B">
        <w:rPr>
          <w:rStyle w:val="FootnoteReference"/>
          <w:rFonts w:asciiTheme="minorHAnsi" w:eastAsiaTheme="majorEastAsia" w:hAnsiTheme="minorHAnsi" w:cstheme="minorHAnsi"/>
          <w:szCs w:val="24"/>
        </w:rPr>
        <w:footnoteReference w:id="1"/>
      </w:r>
      <w:r w:rsidRPr="00BD768B">
        <w:rPr>
          <w:rFonts w:asciiTheme="minorHAnsi" w:hAnsiTheme="minorHAnsi" w:cstheme="minorHAnsi"/>
          <w:szCs w:val="24"/>
        </w:rPr>
        <w:t xml:space="preserve"> για να διαπιστώσει αν υπήρξε οποιαδήποτε παράλειψη ή λάθος. Αν η ένσταση κρίνεται δικαιολογημένη </w:t>
      </w:r>
      <w:r>
        <w:rPr>
          <w:rFonts w:asciiTheme="minorHAnsi" w:hAnsiTheme="minorHAnsi" w:cstheme="minorHAnsi"/>
          <w:szCs w:val="24"/>
        </w:rPr>
        <w:t xml:space="preserve">και η Επιτροπή Ενστάσεων αποφανθεί ότι η Επιτροπή Αξιολόγησης δεν έχει εξαντλήσει το περιθώριο για υποβολή διευκρινήσεων /συμπληρωματικών στοιχείων , η ένσταση </w:t>
      </w:r>
      <w:r w:rsidRPr="00BD768B">
        <w:rPr>
          <w:rFonts w:asciiTheme="minorHAnsi" w:hAnsiTheme="minorHAnsi" w:cstheme="minorHAnsi"/>
          <w:szCs w:val="24"/>
        </w:rPr>
        <w:t xml:space="preserve">αποστέλλεται μαζί με τα ευρήματα της Επιτροπής Ενστάσεων και τους λόγους για τους οποίους θεωρεί ότι η πρόταση δεν έτυχε ίσης και δίκαιης αξιολόγησης, στον Προϊστάμενο του Ενδιάμεσου Φορέα για </w:t>
      </w:r>
      <w:r>
        <w:rPr>
          <w:rFonts w:asciiTheme="minorHAnsi" w:hAnsiTheme="minorHAnsi" w:cstheme="minorHAnsi"/>
          <w:szCs w:val="24"/>
        </w:rPr>
        <w:t xml:space="preserve">περαιτέρω διερεύνηση και εξέταση συμπληρωματικών στοιχείων, από </w:t>
      </w:r>
      <w:r w:rsidRPr="00BD768B">
        <w:rPr>
          <w:rFonts w:asciiTheme="minorHAnsi" w:hAnsiTheme="minorHAnsi" w:cstheme="minorHAnsi"/>
          <w:szCs w:val="24"/>
        </w:rPr>
        <w:t xml:space="preserve">την Επιτροπή Αξιολόγησης </w:t>
      </w:r>
      <w:r>
        <w:rPr>
          <w:rFonts w:asciiTheme="minorHAnsi" w:hAnsiTheme="minorHAnsi" w:cstheme="minorHAnsi"/>
          <w:szCs w:val="24"/>
        </w:rPr>
        <w:t>στα πλαίσια πάντα της αρμοδιότητας της όπως καθορίζεται στους όρους εντολής της ( βλ. σελ. 3 πιο κάτω, σχετική παράγραφο με τίτλο «Διευκρινήσεις /Συμπληρώσεις κατά τη Διαδικασία Αξιολόγησης»)  με στόχο την επαν</w:t>
      </w:r>
      <w:r w:rsidRPr="00BD768B">
        <w:rPr>
          <w:rFonts w:asciiTheme="minorHAnsi" w:hAnsiTheme="minorHAnsi" w:cstheme="minorHAnsi"/>
          <w:szCs w:val="24"/>
        </w:rPr>
        <w:t xml:space="preserve">αξιολόγηση και βαθμολόγηση από την Επιτροπή Αξιολόγησης και (όπου κρίνεται </w:t>
      </w:r>
      <w:r w:rsidRPr="00BD768B">
        <w:rPr>
          <w:rFonts w:asciiTheme="minorHAnsi" w:hAnsiTheme="minorHAnsi" w:cstheme="minorHAnsi"/>
          <w:szCs w:val="24"/>
        </w:rPr>
        <w:lastRenderedPageBreak/>
        <w:t>απαραίτητο) τον τεχνικό εμπειρογνώμονα</w:t>
      </w:r>
      <w:r>
        <w:rPr>
          <w:rFonts w:asciiTheme="minorHAnsi" w:hAnsiTheme="minorHAnsi" w:cstheme="minorHAnsi"/>
          <w:szCs w:val="24"/>
        </w:rPr>
        <w:t>. Οι αιτητές</w:t>
      </w:r>
      <w:r w:rsidRPr="00BD768B">
        <w:rPr>
          <w:rFonts w:asciiTheme="minorHAnsi" w:hAnsiTheme="minorHAnsi" w:cstheme="minorHAnsi"/>
          <w:szCs w:val="24"/>
        </w:rPr>
        <w:t xml:space="preserve"> ενημερώνονται το συντομότερο κατά πόσο κρίνεται δικαιολογημένη ή όχι η ένσταση τους. </w:t>
      </w:r>
    </w:p>
    <w:p w:rsidR="000C68D5" w:rsidRPr="00BD768B" w:rsidRDefault="000C68D5" w:rsidP="000C68D5">
      <w:pPr>
        <w:pStyle w:val="BodyText"/>
        <w:spacing w:before="240" w:after="240" w:line="276" w:lineRule="auto"/>
        <w:rPr>
          <w:rFonts w:asciiTheme="minorHAnsi" w:hAnsiTheme="minorHAnsi" w:cstheme="minorHAnsi"/>
          <w:szCs w:val="24"/>
        </w:rPr>
      </w:pPr>
      <w:r w:rsidRPr="00BD768B">
        <w:rPr>
          <w:rFonts w:asciiTheme="minorHAnsi" w:hAnsiTheme="minorHAnsi" w:cstheme="minorHAnsi"/>
          <w:szCs w:val="24"/>
        </w:rPr>
        <w:t>(</w:t>
      </w:r>
      <w:r>
        <w:rPr>
          <w:rFonts w:asciiTheme="minorHAnsi" w:hAnsiTheme="minorHAnsi" w:cstheme="minorHAnsi"/>
          <w:szCs w:val="24"/>
        </w:rPr>
        <w:t>β</w:t>
      </w:r>
      <w:r w:rsidRPr="00BD768B">
        <w:rPr>
          <w:rFonts w:asciiTheme="minorHAnsi" w:hAnsiTheme="minorHAnsi" w:cstheme="minorHAnsi"/>
          <w:szCs w:val="24"/>
        </w:rPr>
        <w:t>) Στις περιπτώσεις ενστάσεων που αφορούν σε απορρίψεις λόγω χαμηλής βαθμολογίας κατά το δεύτερο στάδιο αξιολόγησης και εφόσον στις περιπτώσεις Συγκριτικής Αξιολόγησης</w:t>
      </w:r>
      <w:r>
        <w:rPr>
          <w:rFonts w:asciiTheme="minorHAnsi" w:hAnsiTheme="minorHAnsi" w:cstheme="minorHAnsi"/>
          <w:szCs w:val="24"/>
        </w:rPr>
        <w:t>, κατά κανόνα,</w:t>
      </w:r>
      <w:r w:rsidRPr="00BD768B">
        <w:rPr>
          <w:rFonts w:asciiTheme="minorHAnsi" w:hAnsiTheme="minorHAnsi" w:cstheme="minorHAnsi"/>
          <w:szCs w:val="24"/>
        </w:rPr>
        <w:t xml:space="preserve"> δεν επιτρέπεται η υποβολή διευκρινήσεων / συμπληρωματικών στοιχείων σε αυτό το στάδιο, η Επιτροπή Ενστάσεων επανεξετάζει </w:t>
      </w:r>
      <w:r w:rsidRPr="00BD768B">
        <w:rPr>
          <w:rFonts w:asciiTheme="minorHAnsi" w:hAnsiTheme="minorHAnsi" w:cstheme="minorHAnsi"/>
          <w:b/>
          <w:szCs w:val="24"/>
          <w:u w:val="single"/>
        </w:rPr>
        <w:t>μόνο</w:t>
      </w:r>
      <w:r w:rsidRPr="00BD768B">
        <w:rPr>
          <w:rFonts w:asciiTheme="minorHAnsi" w:hAnsiTheme="minorHAnsi" w:cstheme="minorHAnsi"/>
          <w:szCs w:val="24"/>
        </w:rPr>
        <w:t xml:space="preserve"> το περιεχόμενο του φακέλου της αίτησης</w:t>
      </w:r>
      <w:r w:rsidRPr="00BD768B">
        <w:rPr>
          <w:rStyle w:val="FootnoteReference"/>
          <w:rFonts w:asciiTheme="minorHAnsi" w:eastAsiaTheme="majorEastAsia" w:hAnsiTheme="minorHAnsi" w:cstheme="minorHAnsi"/>
          <w:szCs w:val="24"/>
        </w:rPr>
        <w:footnoteReference w:id="2"/>
      </w:r>
      <w:r w:rsidRPr="00BD768B">
        <w:rPr>
          <w:rFonts w:asciiTheme="minorHAnsi" w:hAnsiTheme="minorHAnsi" w:cstheme="minorHAnsi"/>
          <w:szCs w:val="24"/>
        </w:rPr>
        <w:t xml:space="preserve"> και τη διαδικασία αξιολόγησης μαζί με τα φύλλα αξιολόγησης που συμπληρώθηκαν από την Επιτροπή Αξιολόγησης για να διαπιστώσει αν υπήρξε οποιαδήποτε παράλειψη ή λάθος. </w:t>
      </w:r>
      <w:r>
        <w:rPr>
          <w:rFonts w:asciiTheme="minorHAnsi" w:hAnsiTheme="minorHAnsi" w:cstheme="minorHAnsi"/>
          <w:szCs w:val="24"/>
        </w:rPr>
        <w:t xml:space="preserve">Στις περιπτώσεις, κατά τις οποίες υπάρχει αναγκαιότητα για τεκμηρίωση της κρίσης της, η Επιτροπή Αξιολόγησης δικαιούται να προβαίνει, σε επιτόπιο φυσικό έλεγχο του αιτητή /υποψήφιου δικαιούχου, κατά τρόπο που να μην επηρεάζει τη συγκρισιμότητα μεταξύ των </w:t>
      </w:r>
      <w:proofErr w:type="spellStart"/>
      <w:r>
        <w:rPr>
          <w:rFonts w:asciiTheme="minorHAnsi" w:hAnsiTheme="minorHAnsi" w:cstheme="minorHAnsi"/>
          <w:szCs w:val="24"/>
        </w:rPr>
        <w:t>αιτητών</w:t>
      </w:r>
      <w:proofErr w:type="spellEnd"/>
      <w:r>
        <w:rPr>
          <w:rFonts w:asciiTheme="minorHAnsi" w:hAnsiTheme="minorHAnsi" w:cstheme="minorHAnsi"/>
          <w:szCs w:val="24"/>
        </w:rPr>
        <w:t xml:space="preserve">/υποψηφίων δικαιούχων.  </w:t>
      </w:r>
      <w:r w:rsidRPr="00BD768B">
        <w:rPr>
          <w:rFonts w:asciiTheme="minorHAnsi" w:hAnsiTheme="minorHAnsi" w:cstheme="minorHAnsi"/>
          <w:szCs w:val="24"/>
        </w:rPr>
        <w:t>Αν η ένσταση κρίνεται δικαιολογημένη, αποστέλλεται μαζί με τα ευρήματα της Επιτροπής Ενστάσεων και τους λόγους για τους οποίους θεωρεί ότι η πρόταση δεν έτυχε ίσης και δίκαιης αξιολόγησης, στον Προϊστάμενο  του Ενδιάμεσου Φορέα για επαναξιολόγηση και βαθμολόγηση από την Επιτροπή Αξιολόγησης και (όπου κρίνεται απαραίτητο) τον τεχνικό εμπειρογνώμονα και ενημερώνονται το συντομότερο οι αιτητές κατά πόσο κρίνεται δικαιολογημένη ή όχι η ένσταση τους.</w:t>
      </w:r>
    </w:p>
    <w:p w:rsidR="000C68D5" w:rsidRPr="00DD1B55" w:rsidRDefault="000C68D5" w:rsidP="000C68D5">
      <w:pPr>
        <w:pStyle w:val="Heading4"/>
        <w:rPr>
          <w:sz w:val="24"/>
        </w:rPr>
      </w:pPr>
      <w:r w:rsidRPr="00DD1B55">
        <w:rPr>
          <w:sz w:val="24"/>
        </w:rPr>
        <w:t xml:space="preserve">(II) </w:t>
      </w:r>
      <w:r>
        <w:rPr>
          <w:sz w:val="24"/>
        </w:rPr>
        <w:t>Σ</w:t>
      </w:r>
      <w:r w:rsidRPr="00DD1B55">
        <w:rPr>
          <w:sz w:val="24"/>
        </w:rPr>
        <w:t xml:space="preserve">τάδιο αξιολόγησης αιτημάτων για καταβολή χορηγίας </w:t>
      </w:r>
      <w:r>
        <w:rPr>
          <w:sz w:val="24"/>
        </w:rPr>
        <w:t xml:space="preserve"> </w:t>
      </w:r>
    </w:p>
    <w:p w:rsidR="000C68D5" w:rsidRPr="000C68D5" w:rsidRDefault="000C68D5" w:rsidP="000C68D5">
      <w:pPr>
        <w:spacing w:before="240" w:after="240" w:line="276" w:lineRule="auto"/>
        <w:ind w:right="26"/>
        <w:jc w:val="both"/>
        <w:rPr>
          <w:rFonts w:asciiTheme="minorHAnsi" w:hAnsiTheme="minorHAnsi" w:cstheme="minorHAnsi"/>
          <w:lang w:val="el-GR"/>
        </w:rPr>
      </w:pPr>
      <w:r w:rsidRPr="000C68D5">
        <w:rPr>
          <w:rFonts w:asciiTheme="minorHAnsi" w:hAnsiTheme="minorHAnsi" w:cstheme="minorHAnsi"/>
          <w:lang w:val="el-GR"/>
        </w:rPr>
        <w:t>Πριν από την λήψη απόφασης για καταβολή της πρώτης δόσης της χορηγίας δύναται</w:t>
      </w:r>
      <w:r w:rsidR="00CB4B3F">
        <w:rPr>
          <w:rFonts w:asciiTheme="minorHAnsi" w:hAnsiTheme="minorHAnsi" w:cstheme="minorHAnsi"/>
          <w:lang w:val="el-GR"/>
        </w:rPr>
        <w:t>, εάν κριθεί σκόπιμο,</w:t>
      </w:r>
      <w:r w:rsidRPr="000C68D5">
        <w:rPr>
          <w:rFonts w:asciiTheme="minorHAnsi" w:hAnsiTheme="minorHAnsi" w:cstheme="minorHAnsi"/>
          <w:lang w:val="el-GR"/>
        </w:rPr>
        <w:t xml:space="preserve"> να διενεργηθεί από τον ΕΦ επιτόπια επαλήθευση για αξιολόγηση του αιτήματος καταβολής χορηγίας. Στις περιπτώσεις ενστάσεων που αφορούν απορρίψεις επενδύσεων ως μη επιλέξιμες, δηλαδή στο </w:t>
      </w:r>
      <w:r w:rsidRPr="000C68D5">
        <w:rPr>
          <w:rFonts w:asciiTheme="minorHAnsi" w:hAnsiTheme="minorHAnsi" w:cstheme="minorHAnsi"/>
          <w:b/>
          <w:u w:val="single"/>
          <w:lang w:val="el-GR"/>
        </w:rPr>
        <w:t>στάδιο αξιολόγησης αιτημάτων για καταβολή χορηγίας</w:t>
      </w:r>
      <w:r w:rsidRPr="000C68D5">
        <w:rPr>
          <w:rFonts w:asciiTheme="minorHAnsi" w:hAnsiTheme="minorHAnsi" w:cstheme="minorHAnsi"/>
          <w:lang w:val="el-GR"/>
        </w:rPr>
        <w:t xml:space="preserve">, και νοουμένου ότι προνοείται διαδικασία εξέτασης ενστάσεων σε αυτό το στάδιο στον Οδηγό Εφαρμογής του Σχεδίου, η Επιτροπή Ενστάσεων, αφού τις εξετάσει, παραπέμπει τις αποφάσεις της, τεκμηριωμένες στον Προϊστάμενο του Ενδιάμεσου Φορέα για να παραπέμψει το θέμα στους αρμόδιους λειτουργούς που το χειρίστηκαν, ώστε να απαντήσουν, ή να δεχθούν τις απόψεις της Επιτροπής Ενστάσεων. Νοείται ότι σε αυτό το στάδιο δεν τίθεται θέμα αξιολόγησης ή βαθμολόγησης προτάσεων, άρα μπορούν να ζητηθούν και να υποβληθούν όσα διευκρινιστικά ή πρόσθετα στοιχεία κριθούν απαραίτητα μέχρι την ολοκληρωμένη τεκμηρίωση της επιλεξιμότητας της επένδυσης / δαπάνης.  Την τελική απόφαση έχει ο Προϊστάμενος του Ενδιάμεσου Φορέα. </w:t>
      </w:r>
    </w:p>
    <w:p w:rsidR="000C68D5" w:rsidRDefault="000C68D5" w:rsidP="000C68D5">
      <w:pPr>
        <w:pStyle w:val="Heading1"/>
        <w:rPr>
          <w:kern w:val="2"/>
        </w:rPr>
      </w:pPr>
      <w:r w:rsidRPr="009624C4">
        <w:rPr>
          <w:kern w:val="2"/>
        </w:rPr>
        <w:t xml:space="preserve">Διευκρινίσεις / Συμπληρώσεις κατά τη Διαδικασία Αξιολόγησης  </w:t>
      </w:r>
    </w:p>
    <w:p w:rsidR="000C68D5" w:rsidRPr="000C68D5" w:rsidRDefault="000C68D5" w:rsidP="000C68D5">
      <w:pPr>
        <w:spacing w:before="240" w:after="240" w:line="276" w:lineRule="auto"/>
        <w:jc w:val="both"/>
        <w:rPr>
          <w:rFonts w:asciiTheme="minorHAnsi" w:hAnsiTheme="minorHAnsi" w:cstheme="minorHAnsi"/>
          <w:lang w:val="el-GR"/>
        </w:rPr>
      </w:pPr>
      <w:r w:rsidRPr="000C68D5">
        <w:rPr>
          <w:rFonts w:asciiTheme="minorHAnsi" w:hAnsiTheme="minorHAnsi" w:cstheme="minorHAnsi"/>
          <w:lang w:val="el-GR"/>
        </w:rPr>
        <w:t>Κατά τη διαδικασία της αξιολόγησης (πρώτο στάδιο αξιολόγησης – τυπικές προϋποθέσεις) ή επαναξιολόγησης,</w:t>
      </w:r>
      <w:r w:rsidR="003D22EF">
        <w:rPr>
          <w:rFonts w:asciiTheme="minorHAnsi" w:hAnsiTheme="minorHAnsi" w:cstheme="minorHAnsi"/>
          <w:lang w:val="el-GR"/>
        </w:rPr>
        <w:t xml:space="preserve"> </w:t>
      </w:r>
      <w:r w:rsidRPr="000C68D5">
        <w:rPr>
          <w:rFonts w:asciiTheme="minorHAnsi" w:hAnsiTheme="minorHAnsi" w:cstheme="minorHAnsi"/>
          <w:lang w:val="el-GR"/>
        </w:rPr>
        <w:t xml:space="preserve">στην περίπτωση που την ζητήσει Επιτροπή Ενστάσεων, ο ΕΦ (ΙΙ) μπορεί, εφόσον το κρίνει απαραίτητο, να ζητήσει γραπτώς από το δυνητικό Δικαιούχο να διευκρινίσει, να συμπληρώσει ή να τεκμηριώσει περαιτέρω τα ήδη υποβληθέντα στοιχεία της πρότασης, όταν για παράδειγμα δε δίδονται επαρκή στοιχεία για να αξιολογηθεί το έργο ως προς ένα κριτήριο (π.χ. επιλεξιμότητα επένδυσης). Ο ΕΦ (ΙΙ) μπορεί να ζητήσει διευκρινήσεις/συμπληρώσεις,( στα πλαίσια </w:t>
      </w:r>
      <w:r w:rsidRPr="000C68D5">
        <w:rPr>
          <w:rFonts w:asciiTheme="minorHAnsi" w:hAnsiTheme="minorHAnsi" w:cstheme="minorHAnsi"/>
          <w:lang w:val="el-GR"/>
        </w:rPr>
        <w:lastRenderedPageBreak/>
        <w:t xml:space="preserve">που καθορίζονται από τον Οδηγό Εφαρμογής του ΣΧ και γενικά το σχετικό θεσμικό πλαίσιο) </w:t>
      </w:r>
      <w:r w:rsidRPr="000C68D5">
        <w:rPr>
          <w:rFonts w:asciiTheme="minorHAnsi" w:hAnsiTheme="minorHAnsi" w:cstheme="minorHAnsi"/>
          <w:b/>
          <w:lang w:val="el-GR"/>
        </w:rPr>
        <w:t xml:space="preserve">στην περίπτωση της </w:t>
      </w:r>
      <w:r w:rsidRPr="000C68D5">
        <w:rPr>
          <w:rFonts w:asciiTheme="minorHAnsi" w:hAnsiTheme="minorHAnsi" w:cstheme="minorHAnsi"/>
          <w:b/>
          <w:u w:val="single"/>
          <w:lang w:val="el-GR"/>
        </w:rPr>
        <w:t>Άμεσης</w:t>
      </w:r>
      <w:r w:rsidRPr="000C68D5">
        <w:rPr>
          <w:rFonts w:asciiTheme="minorHAnsi" w:hAnsiTheme="minorHAnsi" w:cstheme="minorHAnsi"/>
          <w:b/>
          <w:lang w:val="el-GR"/>
        </w:rPr>
        <w:t xml:space="preserve"> Αξιολόγησης σε όλα τα στάδια της αξιολόγησης ενώ στην περίπτωση της </w:t>
      </w:r>
      <w:r w:rsidRPr="000C68D5">
        <w:rPr>
          <w:rFonts w:asciiTheme="minorHAnsi" w:hAnsiTheme="minorHAnsi" w:cstheme="minorHAnsi"/>
          <w:b/>
          <w:u w:val="single"/>
          <w:lang w:val="el-GR"/>
        </w:rPr>
        <w:t>Συγκριτικής</w:t>
      </w:r>
      <w:r w:rsidRPr="000C68D5">
        <w:rPr>
          <w:rFonts w:asciiTheme="minorHAnsi" w:hAnsiTheme="minorHAnsi" w:cstheme="minorHAnsi"/>
          <w:b/>
          <w:lang w:val="el-GR"/>
        </w:rPr>
        <w:t xml:space="preserve"> Αξιολόγησης μόνο στο πρώτο στάδιο αξιολόγησης (έλεγχος τυπικών προϋποθέσεων)</w:t>
      </w:r>
      <w:r w:rsidRPr="000C68D5">
        <w:rPr>
          <w:rFonts w:asciiTheme="minorHAnsi" w:hAnsiTheme="minorHAnsi" w:cstheme="minorHAnsi"/>
          <w:lang w:val="el-GR"/>
        </w:rPr>
        <w:t xml:space="preserve">. </w:t>
      </w:r>
    </w:p>
    <w:p w:rsidR="000C68D5" w:rsidRPr="000C68D5" w:rsidRDefault="000C68D5" w:rsidP="000C68D5">
      <w:pPr>
        <w:spacing w:before="240" w:after="240" w:line="276" w:lineRule="auto"/>
        <w:jc w:val="both"/>
        <w:rPr>
          <w:rFonts w:asciiTheme="minorHAnsi" w:hAnsiTheme="minorHAnsi" w:cstheme="minorHAnsi"/>
          <w:lang w:val="el-GR"/>
        </w:rPr>
      </w:pPr>
      <w:r w:rsidRPr="000C68D5">
        <w:rPr>
          <w:rFonts w:asciiTheme="minorHAnsi" w:hAnsiTheme="minorHAnsi" w:cstheme="minorHAnsi"/>
          <w:lang w:val="el-GR"/>
        </w:rPr>
        <w:t xml:space="preserve">Στην περίπτωση της </w:t>
      </w:r>
      <w:r w:rsidRPr="000C68D5">
        <w:rPr>
          <w:rFonts w:asciiTheme="minorHAnsi" w:hAnsiTheme="minorHAnsi" w:cstheme="minorHAnsi"/>
          <w:b/>
          <w:lang w:val="el-GR"/>
        </w:rPr>
        <w:t>άμεσης αξιολόγησης</w:t>
      </w:r>
      <w:r w:rsidRPr="000C68D5">
        <w:rPr>
          <w:rFonts w:asciiTheme="minorHAnsi" w:hAnsiTheme="minorHAnsi" w:cstheme="minorHAnsi"/>
          <w:lang w:val="el-GR"/>
        </w:rPr>
        <w:t xml:space="preserve">, όταν ο ΕΦ (ΙΙ) ζητήσει διευκρινίσεις, συμπληρώσεις ή τεκμηρίωση, </w:t>
      </w:r>
      <w:r w:rsidRPr="000C68D5">
        <w:rPr>
          <w:rFonts w:asciiTheme="minorHAnsi" w:hAnsiTheme="minorHAnsi" w:cstheme="minorHAnsi"/>
          <w:b/>
          <w:lang w:val="el-GR"/>
        </w:rPr>
        <w:t>η πρόταση τίθεται σε αναστολή</w:t>
      </w:r>
      <w:r w:rsidRPr="000C68D5">
        <w:rPr>
          <w:rFonts w:asciiTheme="minorHAnsi" w:hAnsiTheme="minorHAnsi" w:cstheme="minorHAnsi"/>
          <w:lang w:val="el-GR"/>
        </w:rPr>
        <w:t xml:space="preserve"> μέχρι την υποβολή των στοιχείων αυτών. Η αξιολόγηση των υπόλοιπων προτάσεων συνεχίζεται κανονικά. Με την υποβολή των συμπληρωματικών στοιχείων, η πρόταση επανέρχεται σε φάση αξιολόγησης, χωρίς να παραβιάζεται όμως σε καμιά περίπτωση η αρχή της ίσης μεταχείρισης των δυνητικών Δικαιούχων. </w:t>
      </w:r>
    </w:p>
    <w:p w:rsidR="000C68D5" w:rsidRPr="000C68D5" w:rsidRDefault="000C68D5" w:rsidP="000C68D5">
      <w:pPr>
        <w:tabs>
          <w:tab w:val="num" w:pos="0"/>
        </w:tabs>
        <w:spacing w:before="240" w:after="240" w:line="276" w:lineRule="auto"/>
        <w:jc w:val="both"/>
        <w:rPr>
          <w:rFonts w:asciiTheme="minorHAnsi" w:hAnsiTheme="minorHAnsi" w:cstheme="minorHAnsi"/>
          <w:lang w:val="el-GR"/>
        </w:rPr>
      </w:pPr>
      <w:r w:rsidRPr="000C68D5">
        <w:rPr>
          <w:rFonts w:asciiTheme="minorHAnsi" w:hAnsiTheme="minorHAnsi" w:cstheme="minorHAnsi"/>
          <w:lang w:val="el-GR"/>
        </w:rPr>
        <w:t xml:space="preserve">Στην περίπτωση που ο ΕΦ (ΙΙ) ζητήσει από τους δυνητικούς Δικαιούχους, περαιτέρω διευκρινίσεις ή συμπληρώσεις, </w:t>
      </w:r>
      <w:r w:rsidRPr="000C68D5">
        <w:rPr>
          <w:rFonts w:asciiTheme="minorHAnsi" w:hAnsiTheme="minorHAnsi" w:cstheme="minorHAnsi"/>
          <w:b/>
          <w:u w:val="single"/>
          <w:lang w:val="el-GR"/>
        </w:rPr>
        <w:t>οι δυνητικοί Δικαιούχοι θα πρέπει να προσκομίσουν τις απαραίτητες πληροφορίες εντός συγκεκριμένης χρονικής προθεσμίας η οποία θα καθορίζεται από τον ΕΦ.</w:t>
      </w:r>
      <w:r w:rsidRPr="000C68D5">
        <w:rPr>
          <w:rFonts w:asciiTheme="minorHAnsi" w:hAnsiTheme="minorHAnsi" w:cstheme="minorHAnsi"/>
          <w:lang w:val="el-GR"/>
        </w:rPr>
        <w:t xml:space="preserve"> Είναι επιθυμητό ο ΕΦ (ΙΙ) να θέτει προθεσμία για υποβολή από το δυνητικό Δικαιούχο των ζητηθέντων συμπληρώσεων / διευκρινίσεων. Είναι επιθυμητό η προθεσμία να μην ξεπερνά τους δύο μήνες.   </w:t>
      </w:r>
    </w:p>
    <w:p w:rsidR="000C68D5" w:rsidRPr="009624C4" w:rsidRDefault="000C68D5" w:rsidP="000C68D5">
      <w:pPr>
        <w:pStyle w:val="Heading1"/>
        <w:rPr>
          <w:kern w:val="2"/>
        </w:rPr>
      </w:pPr>
      <w:r w:rsidRPr="009624C4">
        <w:rPr>
          <w:kern w:val="2"/>
        </w:rPr>
        <w:t>Ένταξη / Απόρριψη Έργων μετά την εξέταση ενστάσεων</w:t>
      </w:r>
    </w:p>
    <w:p w:rsidR="000C68D5" w:rsidRPr="000C68D5" w:rsidRDefault="000C68D5" w:rsidP="000C68D5">
      <w:pPr>
        <w:spacing w:before="240" w:after="240" w:line="276" w:lineRule="auto"/>
        <w:ind w:right="26"/>
        <w:jc w:val="both"/>
        <w:rPr>
          <w:rFonts w:asciiTheme="minorHAnsi" w:hAnsiTheme="minorHAnsi" w:cstheme="minorHAnsi"/>
          <w:lang w:val="el-GR"/>
        </w:rPr>
      </w:pPr>
      <w:r w:rsidRPr="000C68D5">
        <w:rPr>
          <w:rFonts w:asciiTheme="minorHAnsi" w:hAnsiTheme="minorHAnsi" w:cstheme="minorHAnsi"/>
          <w:lang w:val="el-GR"/>
        </w:rPr>
        <w:t xml:space="preserve">Με βάση τα αποτελέσματα της αξιολόγησης και των ενστάσεων δρομολογούνται οι διαδικασίες της υπογραφής της Συμφωνίας Δημόσιας Χρηματοδότησης μεταξύ του ΕΦ (ΙΙ) και του Δικαιούχου του εγκριθέντος έργου ή της οριστικής απόρριψης της πρότασης. Στην περίπτωση που το αποτέλεσμα της επανεξέτασης είναι θετικό για το Δικαιούχο, το έργο εγκρίνεται και δρομολογούνται οι διαδικασίες της υπογραφής της Συμφωνίας Δημόσιας Χρηματοδότησης του ΕΦ (ΙΙ) με το Δικαιούχο και σε περίπτωση που έχει εξαντληθεί ο προϋπολογισμός γίνεται συνεννόηση με τη Διαχειριστική Αρχή. Στην αντίθετη περίπτωση η πρόταση απορρίπτεται οριστικά και ενημερώνεται ο Δικαιούχος, με κοινοποίηση στη ΔΑ ή τον ΕΦ </w:t>
      </w:r>
      <w:r w:rsidRPr="00BD768B">
        <w:rPr>
          <w:rFonts w:asciiTheme="minorHAnsi" w:hAnsiTheme="minorHAnsi" w:cstheme="minorHAnsi"/>
        </w:rPr>
        <w:t>IV</w:t>
      </w:r>
      <w:r w:rsidRPr="000C68D5">
        <w:rPr>
          <w:rFonts w:asciiTheme="minorHAnsi" w:hAnsiTheme="minorHAnsi" w:cstheme="minorHAnsi"/>
          <w:lang w:val="el-GR"/>
        </w:rPr>
        <w:t xml:space="preserve">. </w:t>
      </w:r>
    </w:p>
    <w:p w:rsidR="000C68D5" w:rsidRPr="00210D6A" w:rsidRDefault="000C68D5" w:rsidP="000C68D5">
      <w:pPr>
        <w:pStyle w:val="BodyText"/>
        <w:spacing w:before="240" w:after="240" w:line="276" w:lineRule="auto"/>
        <w:rPr>
          <w:rFonts w:asciiTheme="minorHAnsi" w:hAnsiTheme="minorHAnsi" w:cstheme="minorHAnsi"/>
          <w:szCs w:val="24"/>
        </w:rPr>
      </w:pPr>
      <w:r w:rsidRPr="00BD768B">
        <w:rPr>
          <w:rFonts w:asciiTheme="minorHAnsi" w:hAnsiTheme="minorHAnsi" w:cstheme="minorHAnsi"/>
          <w:szCs w:val="24"/>
        </w:rPr>
        <w:t xml:space="preserve">Ο </w:t>
      </w:r>
      <w:r w:rsidRPr="00BD768B">
        <w:rPr>
          <w:rFonts w:asciiTheme="minorHAnsi" w:hAnsiTheme="minorHAnsi" w:cstheme="minorHAnsi"/>
          <w:b/>
          <w:szCs w:val="24"/>
        </w:rPr>
        <w:t>Κατάλογος Εγκεκριμένων Έργων / Δικαιούχων για κάθε ΣΧ</w:t>
      </w:r>
      <w:r w:rsidRPr="00BD768B">
        <w:rPr>
          <w:rFonts w:asciiTheme="minorHAnsi" w:hAnsiTheme="minorHAnsi" w:cstheme="minorHAnsi"/>
          <w:szCs w:val="24"/>
        </w:rPr>
        <w:t xml:space="preserve"> καταρτίζεται από τον ΕΦ (ΙΙ) και οριστικοποιείται μετά την ολοκλήρωση της διαδικασίας ενστάσεων.</w:t>
      </w:r>
    </w:p>
    <w:p w:rsidR="00965E77" w:rsidRPr="00915997" w:rsidRDefault="00965E77" w:rsidP="00022F18">
      <w:pPr>
        <w:rPr>
          <w:rFonts w:asciiTheme="minorHAnsi" w:hAnsiTheme="minorHAnsi" w:cstheme="minorHAnsi"/>
          <w:lang w:val="el-GR"/>
        </w:rPr>
      </w:pPr>
    </w:p>
    <w:sectPr w:rsidR="00965E77" w:rsidRPr="00915997" w:rsidSect="000C68D5">
      <w:headerReference w:type="default" r:id="rId8"/>
      <w:footerReference w:type="default" r:id="rId9"/>
      <w:pgSz w:w="11906" w:h="16838" w:code="9"/>
      <w:pgMar w:top="808" w:right="1080" w:bottom="1440" w:left="1080"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B9" w:rsidRDefault="00DA04B9">
      <w:r>
        <w:separator/>
      </w:r>
    </w:p>
  </w:endnote>
  <w:endnote w:type="continuationSeparator" w:id="0">
    <w:p w:rsidR="00DA04B9" w:rsidRDefault="00DA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D5" w:rsidRPr="000C68D5" w:rsidRDefault="00DA04B9" w:rsidP="000C68D5">
    <w:pPr>
      <w:pBdr>
        <w:top w:val="single" w:sz="4" w:space="1" w:color="auto"/>
      </w:pBdr>
      <w:ind w:left="792" w:hanging="792"/>
      <w:rPr>
        <w:rFonts w:ascii="Arial" w:hAnsi="Arial" w:cs="Arial"/>
        <w:bCs/>
        <w:color w:val="000000"/>
        <w:sz w:val="18"/>
        <w:szCs w:val="18"/>
        <w:lang w:val="el-GR"/>
      </w:rPr>
    </w:pPr>
    <w:sdt>
      <w:sdtPr>
        <w:rPr>
          <w:rFonts w:ascii="Arial" w:hAnsi="Arial" w:cs="Arial"/>
          <w:sz w:val="18"/>
          <w:szCs w:val="18"/>
          <w:lang w:val="el-GR"/>
        </w:rPr>
        <w:id w:val="250395305"/>
        <w:docPartObj>
          <w:docPartGallery w:val="Page Numbers (Top of Page)"/>
          <w:docPartUnique/>
        </w:docPartObj>
      </w:sdtPr>
      <w:sdtEndPr/>
      <w:sdtContent>
        <w:r w:rsidR="000C68D5" w:rsidRPr="000C68D5">
          <w:rPr>
            <w:rFonts w:ascii="Arial" w:hAnsi="Arial" w:cs="Arial"/>
            <w:sz w:val="18"/>
            <w:szCs w:val="18"/>
            <w:lang w:val="el-GR"/>
          </w:rPr>
          <w:t>Σελ</w:t>
        </w:r>
        <w:r w:rsidR="00687B72">
          <w:rPr>
            <w:rFonts w:ascii="Arial" w:hAnsi="Arial" w:cs="Arial"/>
            <w:sz w:val="18"/>
            <w:szCs w:val="18"/>
            <w:lang w:val="el-GR"/>
          </w:rPr>
          <w:t>.</w:t>
        </w:r>
        <w:r w:rsidR="000C68D5" w:rsidRPr="000C68D5">
          <w:rPr>
            <w:rFonts w:ascii="Arial" w:hAnsi="Arial" w:cs="Arial"/>
            <w:sz w:val="18"/>
            <w:szCs w:val="18"/>
            <w:lang w:val="el-GR"/>
          </w:rPr>
          <w:t xml:space="preserve"> </w:t>
        </w:r>
        <w:r w:rsidR="007431CF" w:rsidRPr="000C68D5">
          <w:rPr>
            <w:rFonts w:ascii="Arial" w:hAnsi="Arial" w:cs="Arial"/>
            <w:sz w:val="18"/>
            <w:szCs w:val="18"/>
            <w:lang w:val="el-GR"/>
          </w:rPr>
          <w:fldChar w:fldCharType="begin"/>
        </w:r>
        <w:r w:rsidR="000C68D5" w:rsidRPr="000C68D5">
          <w:rPr>
            <w:rFonts w:ascii="Arial" w:hAnsi="Arial" w:cs="Arial"/>
            <w:sz w:val="18"/>
            <w:szCs w:val="18"/>
            <w:lang w:val="el-GR"/>
          </w:rPr>
          <w:instrText xml:space="preserve"> PAGE </w:instrText>
        </w:r>
        <w:r w:rsidR="007431CF" w:rsidRPr="000C68D5">
          <w:rPr>
            <w:rFonts w:ascii="Arial" w:hAnsi="Arial" w:cs="Arial"/>
            <w:sz w:val="18"/>
            <w:szCs w:val="18"/>
            <w:lang w:val="el-GR"/>
          </w:rPr>
          <w:fldChar w:fldCharType="separate"/>
        </w:r>
        <w:r w:rsidR="005216F3">
          <w:rPr>
            <w:rFonts w:ascii="Arial" w:hAnsi="Arial" w:cs="Arial"/>
            <w:noProof/>
            <w:sz w:val="18"/>
            <w:szCs w:val="18"/>
            <w:lang w:val="el-GR"/>
          </w:rPr>
          <w:t>1</w:t>
        </w:r>
        <w:r w:rsidR="007431CF" w:rsidRPr="000C68D5">
          <w:rPr>
            <w:rFonts w:ascii="Arial" w:hAnsi="Arial" w:cs="Arial"/>
            <w:sz w:val="18"/>
            <w:szCs w:val="18"/>
            <w:lang w:val="el-GR"/>
          </w:rPr>
          <w:fldChar w:fldCharType="end"/>
        </w:r>
        <w:r w:rsidR="000C68D5" w:rsidRPr="000C68D5">
          <w:rPr>
            <w:rFonts w:ascii="Arial" w:hAnsi="Arial" w:cs="Arial"/>
            <w:sz w:val="18"/>
            <w:szCs w:val="18"/>
            <w:lang w:val="el-GR"/>
          </w:rPr>
          <w:t xml:space="preserve"> </w:t>
        </w:r>
      </w:sdtContent>
    </w:sdt>
    <w:r w:rsidR="000C68D5" w:rsidRPr="000C68D5">
      <w:rPr>
        <w:rFonts w:ascii="Arial" w:hAnsi="Arial" w:cs="Arial"/>
        <w:bCs/>
        <w:color w:val="000000"/>
        <w:sz w:val="18"/>
        <w:szCs w:val="18"/>
        <w:lang w:val="el-GR"/>
      </w:rPr>
      <w:t xml:space="preserve"> </w:t>
    </w:r>
  </w:p>
  <w:p w:rsidR="000C68D5" w:rsidRPr="00233855" w:rsidRDefault="000C68D5" w:rsidP="00BA6F4B">
    <w:pPr>
      <w:pBdr>
        <w:top w:val="single" w:sz="4" w:space="1" w:color="auto"/>
      </w:pBdr>
      <w:ind w:left="792" w:hanging="792"/>
      <w:jc w:val="center"/>
      <w:rPr>
        <w:rFonts w:ascii="Arial" w:hAnsi="Arial" w:cs="Arial"/>
        <w:bCs/>
        <w:color w:val="000000"/>
        <w:sz w:val="18"/>
        <w:szCs w:val="18"/>
        <w:lang w:val="el-GR"/>
      </w:rPr>
    </w:pPr>
    <w:r>
      <w:rPr>
        <w:rFonts w:ascii="Arial" w:hAnsi="Arial" w:cs="Arial"/>
        <w:bCs/>
        <w:color w:val="000000"/>
        <w:sz w:val="18"/>
        <w:szCs w:val="18"/>
        <w:lang w:val="el-GR"/>
      </w:rPr>
      <w:t>Γραφείο Προγραμματισμού, 1409 Λευκωσία</w:t>
    </w:r>
  </w:p>
  <w:p w:rsidR="000C68D5" w:rsidRPr="007F7626" w:rsidRDefault="000C68D5" w:rsidP="00BA6F4B">
    <w:pPr>
      <w:pBdr>
        <w:top w:val="single" w:sz="4" w:space="1" w:color="auto"/>
      </w:pBdr>
      <w:ind w:left="792" w:hanging="792"/>
      <w:jc w:val="center"/>
      <w:rPr>
        <w:rFonts w:ascii="Arial" w:hAnsi="Arial" w:cs="Arial"/>
        <w:sz w:val="18"/>
        <w:szCs w:val="18"/>
        <w:lang w:val="de-DE"/>
      </w:rPr>
    </w:pPr>
    <w:proofErr w:type="spellStart"/>
    <w:r w:rsidRPr="00483607">
      <w:rPr>
        <w:rFonts w:ascii="Arial" w:hAnsi="Arial" w:cs="Arial"/>
        <w:sz w:val="18"/>
        <w:szCs w:val="18"/>
        <w:lang w:val="el-GR"/>
      </w:rPr>
      <w:t>Τηλ</w:t>
    </w:r>
    <w:proofErr w:type="spellEnd"/>
    <w:r w:rsidRPr="007F7626">
      <w:rPr>
        <w:rFonts w:ascii="Arial" w:hAnsi="Arial" w:cs="Arial"/>
        <w:sz w:val="18"/>
        <w:szCs w:val="18"/>
        <w:lang w:val="de-DE"/>
      </w:rPr>
      <w:t xml:space="preserve">.:  22602900/1 – </w:t>
    </w:r>
    <w:r w:rsidRPr="00483607">
      <w:rPr>
        <w:rFonts w:ascii="Arial" w:hAnsi="Arial" w:cs="Arial"/>
        <w:sz w:val="18"/>
        <w:szCs w:val="18"/>
        <w:lang w:val="el-GR"/>
      </w:rPr>
      <w:t>Φαξ</w:t>
    </w:r>
    <w:r w:rsidRPr="007F7626">
      <w:rPr>
        <w:rFonts w:ascii="Arial" w:hAnsi="Arial" w:cs="Arial"/>
        <w:sz w:val="18"/>
        <w:szCs w:val="18"/>
        <w:lang w:val="de-DE"/>
      </w:rPr>
      <w:t xml:space="preserve">:   22666810, </w:t>
    </w:r>
    <w:proofErr w:type="spellStart"/>
    <w:r w:rsidRPr="007F7626">
      <w:rPr>
        <w:rFonts w:ascii="Arial" w:hAnsi="Arial" w:cs="Arial"/>
        <w:sz w:val="18"/>
        <w:szCs w:val="18"/>
        <w:lang w:val="de-DE"/>
      </w:rPr>
      <w:t>E-mail</w:t>
    </w:r>
    <w:proofErr w:type="spellEnd"/>
    <w:r w:rsidRPr="007F7626">
      <w:rPr>
        <w:rFonts w:ascii="Arial" w:hAnsi="Arial" w:cs="Arial"/>
        <w:sz w:val="18"/>
        <w:szCs w:val="18"/>
        <w:lang w:val="de-DE"/>
      </w:rPr>
      <w:t xml:space="preserve">: </w:t>
    </w:r>
    <w:hyperlink r:id="rId1" w:history="1">
      <w:r w:rsidRPr="007F7626">
        <w:rPr>
          <w:rStyle w:val="Hyperlink"/>
          <w:rFonts w:ascii="Arial" w:hAnsi="Arial" w:cs="Arial"/>
          <w:sz w:val="18"/>
          <w:szCs w:val="18"/>
          <w:lang w:val="de-DE"/>
        </w:rPr>
        <w:t>planningbureau@planning.gov.cy</w:t>
      </w:r>
    </w:hyperlink>
  </w:p>
  <w:p w:rsidR="000C68D5" w:rsidRPr="00FB5FEA" w:rsidRDefault="000C68D5" w:rsidP="00BA6F4B">
    <w:pPr>
      <w:pBdr>
        <w:top w:val="single" w:sz="4" w:space="1" w:color="auto"/>
      </w:pBdr>
      <w:ind w:left="792" w:hanging="792"/>
      <w:jc w:val="center"/>
      <w:rPr>
        <w:rFonts w:ascii="Arial" w:hAnsi="Arial" w:cs="Arial"/>
        <w:sz w:val="18"/>
        <w:szCs w:val="18"/>
        <w:lang w:val="el-GR"/>
      </w:rPr>
    </w:pPr>
    <w:r>
      <w:rPr>
        <w:rFonts w:ascii="Arial" w:hAnsi="Arial" w:cs="Arial"/>
        <w:sz w:val="18"/>
        <w:szCs w:val="18"/>
        <w:lang w:val="el-GR"/>
      </w:rPr>
      <w:t xml:space="preserve">Ιστοσελίδα: </w:t>
    </w:r>
    <w:r>
      <w:rPr>
        <w:rFonts w:ascii="Arial" w:hAnsi="Arial" w:cs="Arial"/>
        <w:sz w:val="18"/>
        <w:szCs w:val="18"/>
      </w:rPr>
      <w:t>http</w:t>
    </w:r>
    <w:r w:rsidRPr="00FB5FEA">
      <w:rPr>
        <w:rFonts w:ascii="Arial" w:hAnsi="Arial" w:cs="Arial"/>
        <w:sz w:val="18"/>
        <w:szCs w:val="18"/>
        <w:lang w:val="el-GR"/>
      </w:rPr>
      <w:t>://</w:t>
    </w:r>
    <w:r>
      <w:rPr>
        <w:rFonts w:ascii="Arial" w:hAnsi="Arial" w:cs="Arial"/>
        <w:sz w:val="18"/>
        <w:szCs w:val="18"/>
      </w:rPr>
      <w:t>www</w:t>
    </w:r>
    <w:r w:rsidRPr="00FB5FEA">
      <w:rPr>
        <w:rFonts w:ascii="Arial" w:hAnsi="Arial" w:cs="Arial"/>
        <w:sz w:val="18"/>
        <w:szCs w:val="18"/>
        <w:lang w:val="el-GR"/>
      </w:rPr>
      <w:t>.</w:t>
    </w:r>
    <w:r>
      <w:rPr>
        <w:rFonts w:ascii="Arial" w:hAnsi="Arial" w:cs="Arial"/>
        <w:sz w:val="18"/>
        <w:szCs w:val="18"/>
      </w:rPr>
      <w:t>planning</w:t>
    </w:r>
    <w:r w:rsidRPr="00FB5FEA">
      <w:rPr>
        <w:rFonts w:ascii="Arial" w:hAnsi="Arial" w:cs="Arial"/>
        <w:sz w:val="18"/>
        <w:szCs w:val="18"/>
        <w:lang w:val="el-GR"/>
      </w:rPr>
      <w:t>.</w:t>
    </w:r>
    <w:proofErr w:type="spellStart"/>
    <w:r>
      <w:rPr>
        <w:rFonts w:ascii="Arial" w:hAnsi="Arial" w:cs="Arial"/>
        <w:sz w:val="18"/>
        <w:szCs w:val="18"/>
      </w:rPr>
      <w:t>gov</w:t>
    </w:r>
    <w:proofErr w:type="spellEnd"/>
    <w:r w:rsidRPr="00FB5FEA">
      <w:rPr>
        <w:rFonts w:ascii="Arial" w:hAnsi="Arial" w:cs="Arial"/>
        <w:sz w:val="18"/>
        <w:szCs w:val="18"/>
        <w:lang w:val="el-GR"/>
      </w:rPr>
      <w:t>.</w:t>
    </w:r>
    <w:r>
      <w:rPr>
        <w:rFonts w:ascii="Arial" w:hAnsi="Arial" w:cs="Arial"/>
        <w:sz w:val="18"/>
        <w:szCs w:val="18"/>
      </w:rPr>
      <w:t>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B9" w:rsidRDefault="00DA04B9">
      <w:r>
        <w:separator/>
      </w:r>
    </w:p>
  </w:footnote>
  <w:footnote w:type="continuationSeparator" w:id="0">
    <w:p w:rsidR="00DA04B9" w:rsidRDefault="00DA04B9">
      <w:r>
        <w:continuationSeparator/>
      </w:r>
    </w:p>
  </w:footnote>
  <w:footnote w:id="1">
    <w:p w:rsidR="000C68D5" w:rsidRPr="000C68D5" w:rsidRDefault="000C68D5" w:rsidP="000C68D5">
      <w:pPr>
        <w:rPr>
          <w:lang w:val="el-GR"/>
        </w:rPr>
      </w:pPr>
      <w:r w:rsidRPr="00EC3D9C">
        <w:rPr>
          <w:rStyle w:val="a"/>
        </w:rPr>
        <w:footnoteRef/>
      </w:r>
      <w:r w:rsidRPr="000C68D5">
        <w:rPr>
          <w:sz w:val="16"/>
          <w:szCs w:val="16"/>
          <w:lang w:val="el-GR"/>
        </w:rPr>
        <w:t>(δεν αποδέχεται πρόσθετα στοιχεία ή πληροφορίες ή την αντικατάσταση των υποβληθέντων με την αίτηση στοιχείων)</w:t>
      </w:r>
    </w:p>
  </w:footnote>
  <w:footnote w:id="2">
    <w:p w:rsidR="000C68D5" w:rsidRPr="000C68D5" w:rsidRDefault="000C68D5" w:rsidP="000C68D5">
      <w:pPr>
        <w:rPr>
          <w:lang w:val="el-GR"/>
        </w:rPr>
      </w:pPr>
      <w:r w:rsidRPr="00EC3D9C">
        <w:rPr>
          <w:rStyle w:val="a"/>
        </w:rPr>
        <w:footnoteRef/>
      </w:r>
      <w:r w:rsidRPr="000C68D5">
        <w:rPr>
          <w:sz w:val="16"/>
          <w:szCs w:val="16"/>
          <w:lang w:val="el-GR"/>
        </w:rPr>
        <w:t>(δεν αποδέχεται πρόσθετα στοιχεία ή πληροφορίες ή την αντικατάσταση των υποβληθέντων με την αίτηση στοιχείων)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D5" w:rsidRPr="000C68D5" w:rsidRDefault="000C68D5" w:rsidP="000C6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9A5"/>
    <w:multiLevelType w:val="hybridMultilevel"/>
    <w:tmpl w:val="BFAA6120"/>
    <w:lvl w:ilvl="0" w:tplc="C8DC5D5A">
      <w:start w:val="2"/>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609D453A"/>
    <w:multiLevelType w:val="hybridMultilevel"/>
    <w:tmpl w:val="C1184DA0"/>
    <w:lvl w:ilvl="0" w:tplc="FB9EA274">
      <w:start w:val="17"/>
      <w:numFmt w:val="bullet"/>
      <w:lvlText w:val="-"/>
      <w:lvlJc w:val="left"/>
      <w:pPr>
        <w:tabs>
          <w:tab w:val="num" w:pos="720"/>
        </w:tabs>
        <w:ind w:left="720" w:hanging="360"/>
      </w:pPr>
      <w:rPr>
        <w:rFonts w:ascii="Trebuchet MS" w:eastAsia="MS PGothic" w:hAnsi="Trebuchet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B14"/>
    <w:rsid w:val="000030C9"/>
    <w:rsid w:val="00011B60"/>
    <w:rsid w:val="00011BC5"/>
    <w:rsid w:val="00015AD9"/>
    <w:rsid w:val="00022F18"/>
    <w:rsid w:val="0004698F"/>
    <w:rsid w:val="00052044"/>
    <w:rsid w:val="00055080"/>
    <w:rsid w:val="00077CB0"/>
    <w:rsid w:val="00081737"/>
    <w:rsid w:val="00081B93"/>
    <w:rsid w:val="0008329B"/>
    <w:rsid w:val="00086B0E"/>
    <w:rsid w:val="000A4ABD"/>
    <w:rsid w:val="000B0A2E"/>
    <w:rsid w:val="000B4151"/>
    <w:rsid w:val="000B4F2A"/>
    <w:rsid w:val="000C68D5"/>
    <w:rsid w:val="000E7462"/>
    <w:rsid w:val="000F74CD"/>
    <w:rsid w:val="00105931"/>
    <w:rsid w:val="0011174B"/>
    <w:rsid w:val="0011587F"/>
    <w:rsid w:val="001212A1"/>
    <w:rsid w:val="00122330"/>
    <w:rsid w:val="00122C9A"/>
    <w:rsid w:val="0012328F"/>
    <w:rsid w:val="001232C2"/>
    <w:rsid w:val="001306E5"/>
    <w:rsid w:val="00135D5F"/>
    <w:rsid w:val="00136F39"/>
    <w:rsid w:val="0014376A"/>
    <w:rsid w:val="00143E22"/>
    <w:rsid w:val="00153978"/>
    <w:rsid w:val="0016287E"/>
    <w:rsid w:val="00171B6D"/>
    <w:rsid w:val="00173E41"/>
    <w:rsid w:val="00176C31"/>
    <w:rsid w:val="00183540"/>
    <w:rsid w:val="00183DF4"/>
    <w:rsid w:val="00187FBB"/>
    <w:rsid w:val="00190715"/>
    <w:rsid w:val="0019644A"/>
    <w:rsid w:val="001A6496"/>
    <w:rsid w:val="001B33AC"/>
    <w:rsid w:val="001C1A06"/>
    <w:rsid w:val="001C2FED"/>
    <w:rsid w:val="001C6D72"/>
    <w:rsid w:val="001D4E93"/>
    <w:rsid w:val="001D6213"/>
    <w:rsid w:val="001E6277"/>
    <w:rsid w:val="002016EA"/>
    <w:rsid w:val="00222B85"/>
    <w:rsid w:val="0023178F"/>
    <w:rsid w:val="00232D2B"/>
    <w:rsid w:val="00233855"/>
    <w:rsid w:val="00244359"/>
    <w:rsid w:val="00251054"/>
    <w:rsid w:val="00261762"/>
    <w:rsid w:val="002673C6"/>
    <w:rsid w:val="002677E0"/>
    <w:rsid w:val="00271988"/>
    <w:rsid w:val="00280316"/>
    <w:rsid w:val="002B0E1F"/>
    <w:rsid w:val="002B0FA2"/>
    <w:rsid w:val="002C2A6D"/>
    <w:rsid w:val="002E228F"/>
    <w:rsid w:val="00301474"/>
    <w:rsid w:val="00301D1E"/>
    <w:rsid w:val="003051F1"/>
    <w:rsid w:val="00306494"/>
    <w:rsid w:val="003158C9"/>
    <w:rsid w:val="003215E5"/>
    <w:rsid w:val="003265A8"/>
    <w:rsid w:val="003354BE"/>
    <w:rsid w:val="0033656D"/>
    <w:rsid w:val="003403C6"/>
    <w:rsid w:val="00345AB4"/>
    <w:rsid w:val="00353CF2"/>
    <w:rsid w:val="00354418"/>
    <w:rsid w:val="00354E21"/>
    <w:rsid w:val="00361865"/>
    <w:rsid w:val="00364578"/>
    <w:rsid w:val="003677C4"/>
    <w:rsid w:val="003762FB"/>
    <w:rsid w:val="003769CA"/>
    <w:rsid w:val="003857B9"/>
    <w:rsid w:val="003B1FA5"/>
    <w:rsid w:val="003B6571"/>
    <w:rsid w:val="003C0558"/>
    <w:rsid w:val="003C6402"/>
    <w:rsid w:val="003D22EF"/>
    <w:rsid w:val="003D4182"/>
    <w:rsid w:val="003F1A44"/>
    <w:rsid w:val="00400614"/>
    <w:rsid w:val="00405C0D"/>
    <w:rsid w:val="00406F9C"/>
    <w:rsid w:val="004137F6"/>
    <w:rsid w:val="00417322"/>
    <w:rsid w:val="0042113C"/>
    <w:rsid w:val="00430D3E"/>
    <w:rsid w:val="00456C4A"/>
    <w:rsid w:val="00466CFB"/>
    <w:rsid w:val="004670B7"/>
    <w:rsid w:val="00483032"/>
    <w:rsid w:val="00483607"/>
    <w:rsid w:val="0048506F"/>
    <w:rsid w:val="00492EA9"/>
    <w:rsid w:val="004968BC"/>
    <w:rsid w:val="004A38B6"/>
    <w:rsid w:val="004A454B"/>
    <w:rsid w:val="004B2683"/>
    <w:rsid w:val="004C4FD1"/>
    <w:rsid w:val="00500148"/>
    <w:rsid w:val="00503396"/>
    <w:rsid w:val="005038E0"/>
    <w:rsid w:val="005216F3"/>
    <w:rsid w:val="005309BC"/>
    <w:rsid w:val="00535568"/>
    <w:rsid w:val="00540D24"/>
    <w:rsid w:val="00544AC1"/>
    <w:rsid w:val="00544C0C"/>
    <w:rsid w:val="005842B3"/>
    <w:rsid w:val="00595692"/>
    <w:rsid w:val="005A49B1"/>
    <w:rsid w:val="005A75CA"/>
    <w:rsid w:val="005A7625"/>
    <w:rsid w:val="005A7D1D"/>
    <w:rsid w:val="005A7F09"/>
    <w:rsid w:val="005B5602"/>
    <w:rsid w:val="005C0268"/>
    <w:rsid w:val="005C59FC"/>
    <w:rsid w:val="005D1B99"/>
    <w:rsid w:val="005D4C10"/>
    <w:rsid w:val="005E45C4"/>
    <w:rsid w:val="005E5431"/>
    <w:rsid w:val="005E65BC"/>
    <w:rsid w:val="00604CC2"/>
    <w:rsid w:val="00607B57"/>
    <w:rsid w:val="006170C7"/>
    <w:rsid w:val="00617487"/>
    <w:rsid w:val="006433B1"/>
    <w:rsid w:val="0064499E"/>
    <w:rsid w:val="00653F07"/>
    <w:rsid w:val="006559D7"/>
    <w:rsid w:val="00667CA2"/>
    <w:rsid w:val="006771F3"/>
    <w:rsid w:val="00681400"/>
    <w:rsid w:val="00685699"/>
    <w:rsid w:val="00687B72"/>
    <w:rsid w:val="00691FF6"/>
    <w:rsid w:val="00694CA4"/>
    <w:rsid w:val="006A4F7E"/>
    <w:rsid w:val="006D747C"/>
    <w:rsid w:val="006E3E1D"/>
    <w:rsid w:val="0070076F"/>
    <w:rsid w:val="0070116F"/>
    <w:rsid w:val="007056C9"/>
    <w:rsid w:val="00705B60"/>
    <w:rsid w:val="007117FC"/>
    <w:rsid w:val="007256BB"/>
    <w:rsid w:val="007369E8"/>
    <w:rsid w:val="00736F4B"/>
    <w:rsid w:val="007431CF"/>
    <w:rsid w:val="0074586E"/>
    <w:rsid w:val="007576B9"/>
    <w:rsid w:val="0076671B"/>
    <w:rsid w:val="00767CB9"/>
    <w:rsid w:val="007715A2"/>
    <w:rsid w:val="00777CA1"/>
    <w:rsid w:val="007806FF"/>
    <w:rsid w:val="00785B69"/>
    <w:rsid w:val="007970B6"/>
    <w:rsid w:val="007C7D5B"/>
    <w:rsid w:val="007D48CC"/>
    <w:rsid w:val="007E0BB8"/>
    <w:rsid w:val="007E1E7A"/>
    <w:rsid w:val="007E44FF"/>
    <w:rsid w:val="007F7626"/>
    <w:rsid w:val="00805917"/>
    <w:rsid w:val="00806DF6"/>
    <w:rsid w:val="008179C3"/>
    <w:rsid w:val="0082262B"/>
    <w:rsid w:val="00830B76"/>
    <w:rsid w:val="008342E7"/>
    <w:rsid w:val="00843250"/>
    <w:rsid w:val="0088620D"/>
    <w:rsid w:val="008A0187"/>
    <w:rsid w:val="008A39E2"/>
    <w:rsid w:val="008A520F"/>
    <w:rsid w:val="008A76CB"/>
    <w:rsid w:val="008D795A"/>
    <w:rsid w:val="009000E6"/>
    <w:rsid w:val="00906C15"/>
    <w:rsid w:val="00907C11"/>
    <w:rsid w:val="00913455"/>
    <w:rsid w:val="00913527"/>
    <w:rsid w:val="00915997"/>
    <w:rsid w:val="009216B7"/>
    <w:rsid w:val="0092279F"/>
    <w:rsid w:val="009433D0"/>
    <w:rsid w:val="00965E77"/>
    <w:rsid w:val="009737E5"/>
    <w:rsid w:val="00981C0C"/>
    <w:rsid w:val="00983A6B"/>
    <w:rsid w:val="00984282"/>
    <w:rsid w:val="00985308"/>
    <w:rsid w:val="009A3480"/>
    <w:rsid w:val="009A5343"/>
    <w:rsid w:val="009B5FF5"/>
    <w:rsid w:val="009C3663"/>
    <w:rsid w:val="009C6876"/>
    <w:rsid w:val="009E2955"/>
    <w:rsid w:val="009E63B1"/>
    <w:rsid w:val="00A0676C"/>
    <w:rsid w:val="00A11402"/>
    <w:rsid w:val="00A12A2C"/>
    <w:rsid w:val="00A13907"/>
    <w:rsid w:val="00A14C68"/>
    <w:rsid w:val="00A17A34"/>
    <w:rsid w:val="00A217B2"/>
    <w:rsid w:val="00A30808"/>
    <w:rsid w:val="00A325C9"/>
    <w:rsid w:val="00A3745D"/>
    <w:rsid w:val="00A4438E"/>
    <w:rsid w:val="00A502D2"/>
    <w:rsid w:val="00A52B40"/>
    <w:rsid w:val="00A5447B"/>
    <w:rsid w:val="00A5586E"/>
    <w:rsid w:val="00A63414"/>
    <w:rsid w:val="00A67164"/>
    <w:rsid w:val="00A72923"/>
    <w:rsid w:val="00A76EB1"/>
    <w:rsid w:val="00A8439C"/>
    <w:rsid w:val="00A86A47"/>
    <w:rsid w:val="00AA247A"/>
    <w:rsid w:val="00AD2A99"/>
    <w:rsid w:val="00AF572C"/>
    <w:rsid w:val="00AF70F7"/>
    <w:rsid w:val="00AF74F9"/>
    <w:rsid w:val="00B005F0"/>
    <w:rsid w:val="00B2578F"/>
    <w:rsid w:val="00B33442"/>
    <w:rsid w:val="00B373DC"/>
    <w:rsid w:val="00B4712A"/>
    <w:rsid w:val="00B47739"/>
    <w:rsid w:val="00B50354"/>
    <w:rsid w:val="00B557F0"/>
    <w:rsid w:val="00B56E62"/>
    <w:rsid w:val="00B609F3"/>
    <w:rsid w:val="00B61D06"/>
    <w:rsid w:val="00B63BC0"/>
    <w:rsid w:val="00B74244"/>
    <w:rsid w:val="00B742F6"/>
    <w:rsid w:val="00B758A9"/>
    <w:rsid w:val="00B8476D"/>
    <w:rsid w:val="00B91112"/>
    <w:rsid w:val="00BA032A"/>
    <w:rsid w:val="00BA226E"/>
    <w:rsid w:val="00BA3AED"/>
    <w:rsid w:val="00BA4038"/>
    <w:rsid w:val="00BA65EA"/>
    <w:rsid w:val="00BA6F4B"/>
    <w:rsid w:val="00BA7020"/>
    <w:rsid w:val="00BB1AB6"/>
    <w:rsid w:val="00BC1C72"/>
    <w:rsid w:val="00BD07CD"/>
    <w:rsid w:val="00BD5349"/>
    <w:rsid w:val="00BE3804"/>
    <w:rsid w:val="00BF1D91"/>
    <w:rsid w:val="00C01750"/>
    <w:rsid w:val="00C110EB"/>
    <w:rsid w:val="00C2358F"/>
    <w:rsid w:val="00C30127"/>
    <w:rsid w:val="00C32C4F"/>
    <w:rsid w:val="00C341AD"/>
    <w:rsid w:val="00C4113B"/>
    <w:rsid w:val="00C45025"/>
    <w:rsid w:val="00C52047"/>
    <w:rsid w:val="00C536B9"/>
    <w:rsid w:val="00C66F62"/>
    <w:rsid w:val="00C93D6A"/>
    <w:rsid w:val="00C94B2C"/>
    <w:rsid w:val="00C9795B"/>
    <w:rsid w:val="00CA5AFE"/>
    <w:rsid w:val="00CB2EC0"/>
    <w:rsid w:val="00CB3955"/>
    <w:rsid w:val="00CB4B3F"/>
    <w:rsid w:val="00CB57C4"/>
    <w:rsid w:val="00CC094A"/>
    <w:rsid w:val="00CC3D61"/>
    <w:rsid w:val="00CD338E"/>
    <w:rsid w:val="00CE34C8"/>
    <w:rsid w:val="00D04D9A"/>
    <w:rsid w:val="00D0535B"/>
    <w:rsid w:val="00D11A27"/>
    <w:rsid w:val="00D11F0D"/>
    <w:rsid w:val="00D13322"/>
    <w:rsid w:val="00D13EBD"/>
    <w:rsid w:val="00D32CBB"/>
    <w:rsid w:val="00D41001"/>
    <w:rsid w:val="00D437EC"/>
    <w:rsid w:val="00D659AE"/>
    <w:rsid w:val="00D7025C"/>
    <w:rsid w:val="00D80815"/>
    <w:rsid w:val="00D86931"/>
    <w:rsid w:val="00D970AC"/>
    <w:rsid w:val="00DA04B9"/>
    <w:rsid w:val="00DA3537"/>
    <w:rsid w:val="00DA7119"/>
    <w:rsid w:val="00DB66B2"/>
    <w:rsid w:val="00DC2C3E"/>
    <w:rsid w:val="00DE334C"/>
    <w:rsid w:val="00DE6C7A"/>
    <w:rsid w:val="00DF0B2D"/>
    <w:rsid w:val="00DF3EE1"/>
    <w:rsid w:val="00E05461"/>
    <w:rsid w:val="00E066B2"/>
    <w:rsid w:val="00E21967"/>
    <w:rsid w:val="00E27AA0"/>
    <w:rsid w:val="00E34CD3"/>
    <w:rsid w:val="00E35DE1"/>
    <w:rsid w:val="00E37531"/>
    <w:rsid w:val="00E46F3D"/>
    <w:rsid w:val="00E5423F"/>
    <w:rsid w:val="00E572B6"/>
    <w:rsid w:val="00E61BD1"/>
    <w:rsid w:val="00E61F1E"/>
    <w:rsid w:val="00E66D5D"/>
    <w:rsid w:val="00E7517F"/>
    <w:rsid w:val="00E8228E"/>
    <w:rsid w:val="00E97B96"/>
    <w:rsid w:val="00EB5CC6"/>
    <w:rsid w:val="00EC4C9F"/>
    <w:rsid w:val="00ED49D7"/>
    <w:rsid w:val="00ED4FF6"/>
    <w:rsid w:val="00ED6271"/>
    <w:rsid w:val="00EE6655"/>
    <w:rsid w:val="00EE68A1"/>
    <w:rsid w:val="00EE6E53"/>
    <w:rsid w:val="00EF0502"/>
    <w:rsid w:val="00EF0B14"/>
    <w:rsid w:val="00EF1DAC"/>
    <w:rsid w:val="00F00870"/>
    <w:rsid w:val="00F0283E"/>
    <w:rsid w:val="00F10EA7"/>
    <w:rsid w:val="00F12D57"/>
    <w:rsid w:val="00F207B1"/>
    <w:rsid w:val="00F32A73"/>
    <w:rsid w:val="00F36048"/>
    <w:rsid w:val="00F63A1D"/>
    <w:rsid w:val="00F678C3"/>
    <w:rsid w:val="00F75870"/>
    <w:rsid w:val="00F81259"/>
    <w:rsid w:val="00F9554A"/>
    <w:rsid w:val="00FA102A"/>
    <w:rsid w:val="00FB0164"/>
    <w:rsid w:val="00FB3C94"/>
    <w:rsid w:val="00FB47E9"/>
    <w:rsid w:val="00FB5ADD"/>
    <w:rsid w:val="00FB5FEA"/>
    <w:rsid w:val="00FB63CB"/>
    <w:rsid w:val="00FC242A"/>
    <w:rsid w:val="00FD624B"/>
    <w:rsid w:val="00FD75DC"/>
    <w:rsid w:val="00FD7AFA"/>
    <w:rsid w:val="00FE73B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7EC"/>
    <w:rPr>
      <w:sz w:val="24"/>
      <w:szCs w:val="24"/>
      <w:lang w:val="en-GB" w:eastAsia="en-US"/>
    </w:rPr>
  </w:style>
  <w:style w:type="paragraph" w:styleId="Heading1">
    <w:name w:val="heading 1"/>
    <w:basedOn w:val="Normal"/>
    <w:next w:val="Normal"/>
    <w:qFormat/>
    <w:rsid w:val="00D437EC"/>
    <w:pPr>
      <w:keepNext/>
      <w:outlineLvl w:val="0"/>
    </w:pPr>
    <w:rPr>
      <w:sz w:val="28"/>
      <w:szCs w:val="20"/>
      <w:lang w:val="el-GR"/>
    </w:rPr>
  </w:style>
  <w:style w:type="paragraph" w:styleId="Heading2">
    <w:name w:val="heading 2"/>
    <w:basedOn w:val="Normal"/>
    <w:next w:val="Normal"/>
    <w:qFormat/>
    <w:rsid w:val="00D437EC"/>
    <w:pPr>
      <w:keepNext/>
      <w:ind w:left="-70" w:firstLine="70"/>
      <w:jc w:val="right"/>
      <w:outlineLvl w:val="1"/>
    </w:pPr>
    <w:rPr>
      <w:rFonts w:ascii="Arial" w:hAnsi="Arial"/>
      <w:sz w:val="28"/>
      <w:szCs w:val="20"/>
      <w:lang w:val="el-GR"/>
    </w:rPr>
  </w:style>
  <w:style w:type="paragraph" w:styleId="Heading3">
    <w:name w:val="heading 3"/>
    <w:basedOn w:val="Normal"/>
    <w:next w:val="Normal"/>
    <w:link w:val="Heading3Char"/>
    <w:uiPriority w:val="9"/>
    <w:unhideWhenUsed/>
    <w:qFormat/>
    <w:rsid w:val="000C68D5"/>
    <w:pPr>
      <w:keepNext/>
      <w:keepLines/>
      <w:spacing w:before="200"/>
      <w:outlineLvl w:val="2"/>
    </w:pPr>
    <w:rPr>
      <w:rFonts w:asciiTheme="majorHAnsi" w:eastAsiaTheme="majorEastAsia" w:hAnsiTheme="majorHAnsi" w:cstheme="majorBidi"/>
      <w:b/>
      <w:bCs/>
      <w:color w:val="4F81BD" w:themeColor="accent1"/>
      <w:sz w:val="22"/>
      <w:szCs w:val="22"/>
      <w:lang w:val="el-GR"/>
    </w:rPr>
  </w:style>
  <w:style w:type="paragraph" w:styleId="Heading4">
    <w:name w:val="heading 4"/>
    <w:basedOn w:val="Normal"/>
    <w:next w:val="Normal"/>
    <w:link w:val="Heading4Char"/>
    <w:uiPriority w:val="9"/>
    <w:unhideWhenUsed/>
    <w:qFormat/>
    <w:rsid w:val="000C68D5"/>
    <w:pPr>
      <w:keepNext/>
      <w:keepLines/>
      <w:spacing w:before="200"/>
      <w:outlineLvl w:val="3"/>
    </w:pPr>
    <w:rPr>
      <w:rFonts w:asciiTheme="majorHAnsi" w:eastAsiaTheme="majorEastAsia" w:hAnsiTheme="majorHAnsi" w:cstheme="majorBidi"/>
      <w:b/>
      <w:bCs/>
      <w:i/>
      <w:iCs/>
      <w:color w:val="4F81BD" w:themeColor="accent1"/>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7EC"/>
    <w:pPr>
      <w:tabs>
        <w:tab w:val="center" w:pos="4153"/>
        <w:tab w:val="right" w:pos="8306"/>
      </w:tabs>
    </w:pPr>
    <w:rPr>
      <w:rFonts w:ascii="Arial" w:hAnsi="Arial"/>
      <w:spacing w:val="4"/>
      <w:sz w:val="23"/>
      <w:lang w:val="el-GR"/>
    </w:rPr>
  </w:style>
  <w:style w:type="paragraph" w:styleId="Footer">
    <w:name w:val="footer"/>
    <w:basedOn w:val="Normal"/>
    <w:link w:val="FooterChar"/>
    <w:uiPriority w:val="99"/>
    <w:rsid w:val="00D437EC"/>
    <w:pPr>
      <w:tabs>
        <w:tab w:val="center" w:pos="4153"/>
        <w:tab w:val="right" w:pos="8306"/>
      </w:tabs>
    </w:pPr>
    <w:rPr>
      <w:rFonts w:ascii="Arial" w:hAnsi="Arial"/>
      <w:spacing w:val="4"/>
      <w:sz w:val="23"/>
      <w:lang w:val="el-GR"/>
    </w:rPr>
  </w:style>
  <w:style w:type="paragraph" w:customStyle="1" w:styleId="ttaef">
    <w:name w:val="?t???ta e????f??"/>
    <w:basedOn w:val="Normal"/>
    <w:rsid w:val="00D437EC"/>
    <w:pPr>
      <w:keepNext/>
      <w:keepLines/>
      <w:spacing w:before="240" w:after="360"/>
    </w:pPr>
    <w:rPr>
      <w:b/>
      <w:kern w:val="28"/>
      <w:sz w:val="36"/>
      <w:szCs w:val="20"/>
      <w:lang w:val="el-GR"/>
    </w:rPr>
  </w:style>
  <w:style w:type="paragraph" w:styleId="BalloonText">
    <w:name w:val="Balloon Text"/>
    <w:basedOn w:val="Normal"/>
    <w:semiHidden/>
    <w:rsid w:val="00183DF4"/>
    <w:rPr>
      <w:rFonts w:ascii="Tahoma" w:hAnsi="Tahoma" w:cs="Tahoma"/>
      <w:sz w:val="16"/>
      <w:szCs w:val="16"/>
    </w:rPr>
  </w:style>
  <w:style w:type="table" w:styleId="TableGrid">
    <w:name w:val="Table Grid"/>
    <w:basedOn w:val="TableNormal"/>
    <w:rsid w:val="0048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3607"/>
    <w:rPr>
      <w:color w:val="0000FF"/>
      <w:u w:val="single"/>
    </w:rPr>
  </w:style>
  <w:style w:type="paragraph" w:styleId="BodyText">
    <w:name w:val="Body Text"/>
    <w:basedOn w:val="Normal"/>
    <w:rsid w:val="00F36048"/>
    <w:pPr>
      <w:jc w:val="both"/>
    </w:pPr>
    <w:rPr>
      <w:szCs w:val="20"/>
      <w:lang w:val="el-GR"/>
    </w:rPr>
  </w:style>
  <w:style w:type="character" w:customStyle="1" w:styleId="Heading3Char">
    <w:name w:val="Heading 3 Char"/>
    <w:basedOn w:val="DefaultParagraphFont"/>
    <w:link w:val="Heading3"/>
    <w:uiPriority w:val="9"/>
    <w:rsid w:val="000C68D5"/>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0C68D5"/>
    <w:rPr>
      <w:rFonts w:asciiTheme="majorHAnsi" w:eastAsiaTheme="majorEastAsia" w:hAnsiTheme="majorHAnsi" w:cstheme="majorBidi"/>
      <w:b/>
      <w:bCs/>
      <w:i/>
      <w:iCs/>
      <w:color w:val="4F81BD" w:themeColor="accent1"/>
      <w:sz w:val="22"/>
      <w:szCs w:val="22"/>
      <w:lang w:eastAsia="en-US"/>
    </w:rPr>
  </w:style>
  <w:style w:type="character" w:styleId="FootnoteReference">
    <w:name w:val="footnote reference"/>
    <w:basedOn w:val="DefaultParagraphFont"/>
    <w:uiPriority w:val="99"/>
    <w:unhideWhenUsed/>
    <w:rsid w:val="000C68D5"/>
    <w:rPr>
      <w:rFonts w:cs="Times New Roman"/>
      <w:vertAlign w:val="superscript"/>
    </w:rPr>
  </w:style>
  <w:style w:type="character" w:customStyle="1" w:styleId="a">
    <w:name w:val="Σύμβολο υποσημείωσης"/>
    <w:basedOn w:val="DefaultParagraphFont"/>
    <w:rsid w:val="000C68D5"/>
    <w:rPr>
      <w:rFonts w:cs="Times New Roman"/>
      <w:vertAlign w:val="superscript"/>
    </w:rPr>
  </w:style>
  <w:style w:type="character" w:styleId="CommentReference">
    <w:name w:val="annotation reference"/>
    <w:basedOn w:val="DefaultParagraphFont"/>
    <w:uiPriority w:val="99"/>
    <w:unhideWhenUsed/>
    <w:rsid w:val="000C68D5"/>
    <w:rPr>
      <w:rFonts w:cs="Times New Roman"/>
      <w:sz w:val="16"/>
      <w:szCs w:val="16"/>
    </w:rPr>
  </w:style>
  <w:style w:type="paragraph" w:styleId="CommentText">
    <w:name w:val="annotation text"/>
    <w:basedOn w:val="Normal"/>
    <w:link w:val="CommentTextChar"/>
    <w:uiPriority w:val="99"/>
    <w:unhideWhenUsed/>
    <w:rsid w:val="000C68D5"/>
    <w:rPr>
      <w:rFonts w:ascii="Calibri" w:hAnsi="Calibri"/>
      <w:sz w:val="20"/>
      <w:szCs w:val="20"/>
      <w:lang w:val="el-GR"/>
    </w:rPr>
  </w:style>
  <w:style w:type="character" w:customStyle="1" w:styleId="CommentTextChar">
    <w:name w:val="Comment Text Char"/>
    <w:basedOn w:val="DefaultParagraphFont"/>
    <w:link w:val="CommentText"/>
    <w:uiPriority w:val="99"/>
    <w:rsid w:val="000C68D5"/>
    <w:rPr>
      <w:rFonts w:ascii="Calibri" w:hAnsi="Calibri"/>
      <w:lang w:eastAsia="en-US"/>
    </w:rPr>
  </w:style>
  <w:style w:type="character" w:customStyle="1" w:styleId="FooterChar">
    <w:name w:val="Footer Char"/>
    <w:basedOn w:val="DefaultParagraphFont"/>
    <w:link w:val="Footer"/>
    <w:uiPriority w:val="99"/>
    <w:rsid w:val="000C68D5"/>
    <w:rPr>
      <w:rFonts w:ascii="Arial" w:hAnsi="Arial"/>
      <w:spacing w:val="4"/>
      <w:sz w:val="23"/>
      <w:szCs w:val="24"/>
      <w:lang w:eastAsia="en-US"/>
    </w:rPr>
  </w:style>
  <w:style w:type="paragraph" w:styleId="Title">
    <w:name w:val="Title"/>
    <w:basedOn w:val="Normal"/>
    <w:next w:val="Normal"/>
    <w:link w:val="TitleChar"/>
    <w:qFormat/>
    <w:rsid w:val="000C6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68D5"/>
    <w:rPr>
      <w:rFonts w:asciiTheme="majorHAnsi" w:eastAsiaTheme="majorEastAsia" w:hAnsiTheme="majorHAnsi" w:cstheme="majorBidi"/>
      <w:color w:val="17365D" w:themeColor="text2" w:themeShade="BF"/>
      <w:spacing w:val="5"/>
      <w:kern w:val="28"/>
      <w:sz w:val="52"/>
      <w:szCs w:val="5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lanningbureau@planning.gov.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OLKD\ltr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ltrGr</Template>
  <TotalTime>0</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Υ</vt:lpstr>
    </vt:vector>
  </TitlesOfParts>
  <Company/>
  <LinksUpToDate>false</LinksUpToDate>
  <CharactersWithSpaces>10455</CharactersWithSpaces>
  <SharedDoc>false</SharedDoc>
  <HLinks>
    <vt:vector size="12" baseType="variant">
      <vt:variant>
        <vt:i4>3932253</vt:i4>
      </vt:variant>
      <vt:variant>
        <vt:i4>0</vt:i4>
      </vt:variant>
      <vt:variant>
        <vt:i4>0</vt:i4>
      </vt:variant>
      <vt:variant>
        <vt:i4>5</vt:i4>
      </vt:variant>
      <vt:variant>
        <vt:lpwstr>mailto:planningbureau@planning.gov.cy</vt:lpwstr>
      </vt:variant>
      <vt:variant>
        <vt:lpwstr/>
      </vt:variant>
      <vt:variant>
        <vt:i4>393216</vt:i4>
      </vt:variant>
      <vt:variant>
        <vt:i4>-1</vt:i4>
      </vt:variant>
      <vt:variant>
        <vt:i4>1026</vt:i4>
      </vt:variant>
      <vt:variant>
        <vt:i4>1</vt:i4>
      </vt:variant>
      <vt:variant>
        <vt:lpwstr>http://www.cyprus.gov.cy/portal/portal.nsf/0/64b48afa606d5553c22570360021f4a4/Text/8.30D2?OpenElement&amp;FieldElemFormat=jpg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dc:title>
  <dc:creator>user</dc:creator>
  <cp:lastModifiedBy>Natasa Pappouli</cp:lastModifiedBy>
  <cp:revision>3</cp:revision>
  <cp:lastPrinted>2012-09-19T09:23:00Z</cp:lastPrinted>
  <dcterms:created xsi:type="dcterms:W3CDTF">2015-05-21T11:50:00Z</dcterms:created>
  <dcterms:modified xsi:type="dcterms:W3CDTF">2015-05-22T06:45:00Z</dcterms:modified>
</cp:coreProperties>
</file>